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06" w:rsidRPr="00B47792" w:rsidRDefault="00635B06" w:rsidP="00635B06">
      <w:pPr>
        <w:pStyle w:val="NoSpacing"/>
        <w:jc w:val="right"/>
        <w:rPr>
          <w:rFonts w:ascii="Times New Roman" w:hAnsi="Times New Roman" w:cs="Times New Roman"/>
          <w:sz w:val="24"/>
          <w:szCs w:val="24"/>
          <w:lang w:val="en-PH"/>
        </w:rPr>
      </w:pPr>
      <w:r w:rsidRPr="00B47792">
        <w:rPr>
          <w:rFonts w:ascii="Times New Roman" w:hAnsi="Times New Roman" w:cs="Times New Roman"/>
          <w:sz w:val="24"/>
          <w:szCs w:val="24"/>
          <w:lang w:val="en-PH"/>
        </w:rPr>
        <w:t>Mojmir Mrak</w:t>
      </w:r>
    </w:p>
    <w:p w:rsidR="00635B06" w:rsidRDefault="00234CE6" w:rsidP="00635B06">
      <w:pPr>
        <w:pStyle w:val="NoSpacing"/>
        <w:jc w:val="right"/>
        <w:rPr>
          <w:rFonts w:ascii="Times New Roman" w:hAnsi="Times New Roman" w:cs="Times New Roman"/>
          <w:sz w:val="24"/>
          <w:szCs w:val="24"/>
          <w:lang w:val="en-PH"/>
        </w:rPr>
      </w:pPr>
      <w:r>
        <w:rPr>
          <w:rFonts w:ascii="Times New Roman" w:hAnsi="Times New Roman" w:cs="Times New Roman"/>
          <w:sz w:val="24"/>
          <w:szCs w:val="24"/>
          <w:lang w:val="en-PH"/>
        </w:rPr>
        <w:t>10</w:t>
      </w:r>
      <w:r w:rsidR="001C31E5">
        <w:rPr>
          <w:rFonts w:ascii="Times New Roman" w:hAnsi="Times New Roman" w:cs="Times New Roman"/>
          <w:sz w:val="24"/>
          <w:szCs w:val="24"/>
          <w:lang w:val="en-PH"/>
        </w:rPr>
        <w:t xml:space="preserve"> </w:t>
      </w:r>
      <w:bookmarkStart w:id="0" w:name="_GoBack"/>
      <w:bookmarkEnd w:id="0"/>
      <w:r>
        <w:rPr>
          <w:rFonts w:ascii="Times New Roman" w:hAnsi="Times New Roman" w:cs="Times New Roman"/>
          <w:sz w:val="24"/>
          <w:szCs w:val="24"/>
          <w:lang w:val="en-PH"/>
        </w:rPr>
        <w:t>July</w:t>
      </w:r>
      <w:r w:rsidR="00635B06" w:rsidRPr="00B47792">
        <w:rPr>
          <w:rFonts w:ascii="Times New Roman" w:hAnsi="Times New Roman" w:cs="Times New Roman"/>
          <w:sz w:val="24"/>
          <w:szCs w:val="24"/>
          <w:lang w:val="en-PH"/>
        </w:rPr>
        <w:t xml:space="preserve"> 2021</w:t>
      </w:r>
    </w:p>
    <w:p w:rsidR="00AF4544" w:rsidRPr="00B47792" w:rsidRDefault="00234CE6" w:rsidP="00635B06">
      <w:pPr>
        <w:pStyle w:val="NoSpacing"/>
        <w:jc w:val="right"/>
        <w:rPr>
          <w:rFonts w:ascii="Times New Roman" w:hAnsi="Times New Roman" w:cs="Times New Roman"/>
          <w:sz w:val="24"/>
          <w:szCs w:val="24"/>
          <w:lang w:val="en-PH"/>
        </w:rPr>
      </w:pPr>
      <w:r>
        <w:rPr>
          <w:rFonts w:ascii="Times New Roman" w:hAnsi="Times New Roman" w:cs="Times New Roman"/>
          <w:sz w:val="24"/>
          <w:szCs w:val="24"/>
          <w:lang w:val="en-PH"/>
        </w:rPr>
        <w:t>Final report</w:t>
      </w:r>
    </w:p>
    <w:p w:rsidR="00635B06" w:rsidRDefault="00635B06" w:rsidP="00053E43">
      <w:pPr>
        <w:jc w:val="center"/>
        <w:rPr>
          <w:rFonts w:ascii="Times New Roman" w:hAnsi="Times New Roman" w:cs="Times New Roman"/>
          <w:b/>
          <w:bCs/>
          <w:sz w:val="28"/>
          <w:szCs w:val="28"/>
          <w:lang w:val="en-PH"/>
        </w:rPr>
      </w:pPr>
    </w:p>
    <w:p w:rsidR="00C8206D" w:rsidRPr="00B47792" w:rsidRDefault="00AF4544" w:rsidP="00635B06">
      <w:pPr>
        <w:pStyle w:val="NoSpacing"/>
        <w:jc w:val="center"/>
        <w:rPr>
          <w:rFonts w:ascii="Times New Roman" w:hAnsi="Times New Roman" w:cs="Times New Roman"/>
          <w:b/>
          <w:sz w:val="32"/>
          <w:szCs w:val="32"/>
          <w:lang w:val="en-PH"/>
        </w:rPr>
      </w:pPr>
      <w:r>
        <w:rPr>
          <w:rFonts w:ascii="Times New Roman" w:hAnsi="Times New Roman" w:cs="Times New Roman"/>
          <w:b/>
          <w:sz w:val="32"/>
          <w:szCs w:val="32"/>
          <w:lang w:val="en-PH"/>
        </w:rPr>
        <w:t xml:space="preserve">North Macedonia: Report on integration of the EU accession process into the </w:t>
      </w:r>
      <w:r w:rsidR="00053E43" w:rsidRPr="00B47792">
        <w:rPr>
          <w:rFonts w:ascii="Times New Roman" w:hAnsi="Times New Roman" w:cs="Times New Roman"/>
          <w:b/>
          <w:sz w:val="32"/>
          <w:szCs w:val="32"/>
          <w:lang w:val="en-PH"/>
        </w:rPr>
        <w:t xml:space="preserve">National Development Strategy </w:t>
      </w:r>
    </w:p>
    <w:p w:rsidR="00FA1AEB" w:rsidRDefault="00FA1AEB" w:rsidP="00053E43">
      <w:pPr>
        <w:autoSpaceDE w:val="0"/>
        <w:autoSpaceDN w:val="0"/>
        <w:adjustRightInd w:val="0"/>
        <w:spacing w:after="0" w:line="240" w:lineRule="auto"/>
        <w:jc w:val="both"/>
        <w:rPr>
          <w:rFonts w:ascii="Times New Roman" w:hAnsi="Times New Roman" w:cs="Times New Roman"/>
          <w:sz w:val="24"/>
          <w:szCs w:val="24"/>
          <w:lang w:val="en-PH"/>
        </w:rPr>
      </w:pPr>
    </w:p>
    <w:p w:rsidR="00AF4544" w:rsidRPr="00B47792" w:rsidRDefault="00AF4544" w:rsidP="00AF4544">
      <w:pPr>
        <w:jc w:val="both"/>
        <w:rPr>
          <w:rFonts w:ascii="Times New Roman" w:hAnsi="Times New Roman" w:cs="Times New Roman"/>
          <w:b/>
          <w:bCs/>
          <w:sz w:val="28"/>
          <w:szCs w:val="28"/>
          <w:lang w:val="en-PH"/>
        </w:rPr>
      </w:pPr>
      <w:r w:rsidRPr="00B47792">
        <w:rPr>
          <w:rFonts w:ascii="Times New Roman" w:hAnsi="Times New Roman" w:cs="Times New Roman"/>
          <w:b/>
          <w:bCs/>
          <w:sz w:val="28"/>
          <w:szCs w:val="28"/>
          <w:lang w:val="en-PH"/>
        </w:rPr>
        <w:t xml:space="preserve">I. </w:t>
      </w:r>
      <w:r>
        <w:rPr>
          <w:rFonts w:ascii="Times New Roman" w:hAnsi="Times New Roman" w:cs="Times New Roman"/>
          <w:b/>
          <w:bCs/>
          <w:sz w:val="28"/>
          <w:szCs w:val="28"/>
          <w:lang w:val="en-PH"/>
        </w:rPr>
        <w:t xml:space="preserve">Introduction </w:t>
      </w:r>
      <w:r w:rsidRPr="00B47792">
        <w:rPr>
          <w:rFonts w:ascii="Times New Roman" w:hAnsi="Times New Roman" w:cs="Times New Roman"/>
          <w:b/>
          <w:bCs/>
          <w:sz w:val="28"/>
          <w:szCs w:val="28"/>
          <w:lang w:val="en-PH"/>
        </w:rPr>
        <w:t xml:space="preserve"> </w:t>
      </w:r>
    </w:p>
    <w:p w:rsidR="00AF4544" w:rsidRDefault="00AF4544" w:rsidP="00AF4544">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1.1. Background and setting the stage</w:t>
      </w:r>
      <w:r w:rsidR="00950FB4">
        <w:rPr>
          <w:rFonts w:ascii="Times New Roman" w:hAnsi="Times New Roman" w:cs="Times New Roman"/>
          <w:b/>
          <w:sz w:val="24"/>
          <w:szCs w:val="24"/>
          <w:lang w:val="en-PH"/>
        </w:rPr>
        <w:t xml:space="preserve"> for the Report</w:t>
      </w:r>
      <w:r>
        <w:rPr>
          <w:rFonts w:ascii="Times New Roman" w:hAnsi="Times New Roman" w:cs="Times New Roman"/>
          <w:b/>
          <w:sz w:val="24"/>
          <w:szCs w:val="24"/>
          <w:lang w:val="en-PH"/>
        </w:rPr>
        <w:t xml:space="preserve"> </w:t>
      </w:r>
    </w:p>
    <w:p w:rsidR="00AF4544" w:rsidRDefault="00AF4544" w:rsidP="00AF4544">
      <w:pPr>
        <w:autoSpaceDE w:val="0"/>
        <w:autoSpaceDN w:val="0"/>
        <w:adjustRightInd w:val="0"/>
        <w:spacing w:after="0" w:line="240" w:lineRule="auto"/>
        <w:ind w:left="68"/>
        <w:jc w:val="both"/>
        <w:rPr>
          <w:rFonts w:ascii="Times New Roman" w:hAnsi="Times New Roman" w:cs="Times New Roman"/>
          <w:sz w:val="24"/>
          <w:szCs w:val="24"/>
          <w:lang w:val="en-PH"/>
        </w:rPr>
      </w:pPr>
    </w:p>
    <w:p w:rsidR="00AF4544" w:rsidRDefault="00AF4544" w:rsidP="00D97AF3">
      <w:pPr>
        <w:autoSpaceDE w:val="0"/>
        <w:autoSpaceDN w:val="0"/>
        <w:adjustRightInd w:val="0"/>
        <w:spacing w:after="0" w:line="240" w:lineRule="atLeast"/>
        <w:jc w:val="both"/>
        <w:rPr>
          <w:rFonts w:ascii="Times New Roman" w:hAnsi="Times New Roman" w:cs="Times New Roman"/>
          <w:sz w:val="24"/>
          <w:szCs w:val="24"/>
          <w:lang w:val="en-PH"/>
        </w:rPr>
      </w:pPr>
      <w:r>
        <w:rPr>
          <w:rFonts w:ascii="Times New Roman" w:hAnsi="Times New Roman" w:cs="Times New Roman"/>
          <w:sz w:val="24"/>
          <w:szCs w:val="24"/>
          <w:lang w:val="en-PH"/>
        </w:rPr>
        <w:t>Preparation of th</w:t>
      </w:r>
      <w:r w:rsidR="00950FB4">
        <w:rPr>
          <w:rFonts w:ascii="Times New Roman" w:hAnsi="Times New Roman" w:cs="Times New Roman"/>
          <w:sz w:val="24"/>
          <w:szCs w:val="24"/>
          <w:lang w:val="en-PH"/>
        </w:rPr>
        <w:t>e R</w:t>
      </w:r>
      <w:r>
        <w:rPr>
          <w:rFonts w:ascii="Times New Roman" w:hAnsi="Times New Roman" w:cs="Times New Roman"/>
          <w:sz w:val="24"/>
          <w:szCs w:val="24"/>
          <w:lang w:val="en-PH"/>
        </w:rPr>
        <w:t xml:space="preserve">eport is based on the following </w:t>
      </w:r>
      <w:r w:rsidR="00BF2AED">
        <w:rPr>
          <w:rFonts w:ascii="Times New Roman" w:hAnsi="Times New Roman" w:cs="Times New Roman"/>
          <w:sz w:val="24"/>
          <w:szCs w:val="24"/>
          <w:lang w:val="en-PH"/>
        </w:rPr>
        <w:t xml:space="preserve">four </w:t>
      </w:r>
      <w:r w:rsidR="007A56B9">
        <w:rPr>
          <w:rFonts w:ascii="Times New Roman" w:hAnsi="Times New Roman" w:cs="Times New Roman"/>
          <w:sz w:val="24"/>
          <w:szCs w:val="24"/>
          <w:lang w:val="en-PH"/>
        </w:rPr>
        <w:t xml:space="preserve">starting points: </w:t>
      </w:r>
      <w:r>
        <w:rPr>
          <w:rFonts w:ascii="Times New Roman" w:hAnsi="Times New Roman" w:cs="Times New Roman"/>
          <w:sz w:val="24"/>
          <w:szCs w:val="24"/>
          <w:lang w:val="en-PH"/>
        </w:rPr>
        <w:t xml:space="preserve"> </w:t>
      </w:r>
    </w:p>
    <w:p w:rsidR="00AF4544" w:rsidRDefault="00AF4544" w:rsidP="00D97AF3">
      <w:pPr>
        <w:autoSpaceDE w:val="0"/>
        <w:autoSpaceDN w:val="0"/>
        <w:adjustRightInd w:val="0"/>
        <w:spacing w:after="0" w:line="240" w:lineRule="atLeast"/>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 </w:t>
      </w:r>
    </w:p>
    <w:p w:rsidR="00AF4544" w:rsidRPr="00EB046E" w:rsidRDefault="00AF4544" w:rsidP="00D97AF3">
      <w:pPr>
        <w:pStyle w:val="ListParagraph"/>
        <w:numPr>
          <w:ilvl w:val="0"/>
          <w:numId w:val="18"/>
        </w:numPr>
        <w:autoSpaceDE w:val="0"/>
        <w:autoSpaceDN w:val="0"/>
        <w:adjustRightInd w:val="0"/>
        <w:spacing w:after="0" w:line="240" w:lineRule="atLeast"/>
        <w:ind w:left="426"/>
        <w:jc w:val="both"/>
        <w:rPr>
          <w:rFonts w:ascii="Times New Roman" w:hAnsi="Times New Roman" w:cs="Times New Roman"/>
          <w:sz w:val="24"/>
          <w:szCs w:val="24"/>
          <w:lang w:val="en-PH"/>
        </w:rPr>
      </w:pPr>
      <w:r w:rsidRPr="00EB046E">
        <w:rPr>
          <w:rFonts w:ascii="Times New Roman" w:hAnsi="Times New Roman" w:cs="Times New Roman"/>
          <w:i/>
          <w:sz w:val="24"/>
          <w:szCs w:val="24"/>
          <w:lang w:val="en-PH"/>
        </w:rPr>
        <w:t>First;</w:t>
      </w:r>
      <w:r w:rsidRPr="00EB046E">
        <w:rPr>
          <w:rFonts w:ascii="Times New Roman" w:hAnsi="Times New Roman" w:cs="Times New Roman"/>
          <w:sz w:val="24"/>
          <w:szCs w:val="24"/>
          <w:lang w:val="en-PH"/>
        </w:rPr>
        <w:t xml:space="preserve"> North Macedonia has decided to prepare a National Development Plan 2021</w:t>
      </w:r>
      <w:r w:rsidR="00C33E26" w:rsidRPr="00EB046E">
        <w:rPr>
          <w:rFonts w:ascii="Times New Roman" w:hAnsi="Times New Roman" w:cs="Times New Roman"/>
          <w:sz w:val="24"/>
          <w:szCs w:val="24"/>
          <w:lang w:val="en-PH"/>
        </w:rPr>
        <w:t>-</w:t>
      </w:r>
      <w:r w:rsidRPr="00EB046E">
        <w:rPr>
          <w:rFonts w:ascii="Times New Roman" w:hAnsi="Times New Roman" w:cs="Times New Roman"/>
          <w:sz w:val="24"/>
          <w:szCs w:val="24"/>
          <w:lang w:val="en-PH"/>
        </w:rPr>
        <w:t xml:space="preserve">2041 </w:t>
      </w:r>
      <w:r w:rsidR="009E67DC">
        <w:rPr>
          <w:rFonts w:ascii="Times New Roman" w:hAnsi="Times New Roman" w:cs="Times New Roman"/>
          <w:sz w:val="24"/>
          <w:szCs w:val="24"/>
          <w:lang w:val="en-PH"/>
        </w:rPr>
        <w:t xml:space="preserve">(NDS 2021-2041) </w:t>
      </w:r>
      <w:r w:rsidRPr="00EB046E">
        <w:rPr>
          <w:rFonts w:ascii="Times New Roman" w:hAnsi="Times New Roman" w:cs="Times New Roman"/>
          <w:sz w:val="24"/>
          <w:szCs w:val="24"/>
          <w:lang w:val="en-PH"/>
        </w:rPr>
        <w:t>that would guide the economic, social and environmental development of the country over next two decades. The preparation of NDS “</w:t>
      </w:r>
      <w:r w:rsidRPr="00EB046E">
        <w:rPr>
          <w:rFonts w:ascii="Times New Roman" w:hAnsi="Times New Roman" w:cs="Times New Roman"/>
          <w:i/>
          <w:sz w:val="24"/>
          <w:szCs w:val="24"/>
          <w:lang w:val="en-PH"/>
        </w:rPr>
        <w:t>has to be comprehensive, developed through an inclusive and ‘a whole of a society approach’, but also taking into account the current most relevant strategic documents adopted by the Government and the Parliament, the contemporary and innovative models, as well as commitments deriving from the EU accession process and the Agenda 2030 for Sustainable Development</w:t>
      </w:r>
      <w:r w:rsidRPr="00EB046E">
        <w:rPr>
          <w:rFonts w:ascii="Times New Roman" w:hAnsi="Times New Roman" w:cs="Times New Roman"/>
          <w:sz w:val="24"/>
          <w:szCs w:val="24"/>
          <w:lang w:val="en-PH"/>
        </w:rPr>
        <w:t>”.</w:t>
      </w:r>
    </w:p>
    <w:p w:rsidR="007C5CAE" w:rsidRDefault="007A56B9" w:rsidP="00D97AF3">
      <w:pPr>
        <w:pStyle w:val="ListParagraph"/>
        <w:numPr>
          <w:ilvl w:val="0"/>
          <w:numId w:val="18"/>
        </w:numPr>
        <w:autoSpaceDE w:val="0"/>
        <w:autoSpaceDN w:val="0"/>
        <w:adjustRightInd w:val="0"/>
        <w:spacing w:after="0" w:line="240" w:lineRule="atLeast"/>
        <w:ind w:left="426"/>
        <w:jc w:val="both"/>
        <w:rPr>
          <w:rFonts w:ascii="Times New Roman" w:hAnsi="Times New Roman" w:cs="Times New Roman"/>
          <w:sz w:val="24"/>
          <w:szCs w:val="24"/>
          <w:lang w:val="en-PH"/>
        </w:rPr>
      </w:pPr>
      <w:r w:rsidRPr="00EB046E">
        <w:rPr>
          <w:rFonts w:ascii="Times New Roman" w:hAnsi="Times New Roman" w:cs="Times New Roman"/>
          <w:i/>
          <w:sz w:val="24"/>
          <w:szCs w:val="24"/>
          <w:lang w:val="en-PH"/>
        </w:rPr>
        <w:t>Second,</w:t>
      </w:r>
      <w:r w:rsidRPr="00EB046E">
        <w:rPr>
          <w:rFonts w:ascii="Times New Roman" w:hAnsi="Times New Roman" w:cs="Times New Roman"/>
          <w:sz w:val="24"/>
          <w:szCs w:val="24"/>
          <w:lang w:val="en-PH"/>
        </w:rPr>
        <w:t xml:space="preserve"> EU has embarked on the </w:t>
      </w:r>
      <w:r w:rsidRPr="00C87BCE">
        <w:rPr>
          <w:rFonts w:ascii="Times New Roman" w:hAnsi="Times New Roman" w:cs="Times New Roman"/>
          <w:i/>
          <w:sz w:val="24"/>
          <w:szCs w:val="24"/>
          <w:lang w:val="en-PH"/>
        </w:rPr>
        <w:t>European Green Deal</w:t>
      </w:r>
      <w:r w:rsidRPr="00EB046E">
        <w:rPr>
          <w:rFonts w:ascii="Times New Roman" w:hAnsi="Times New Roman" w:cs="Times New Roman"/>
          <w:sz w:val="24"/>
          <w:szCs w:val="24"/>
          <w:lang w:val="en-PH"/>
        </w:rPr>
        <w:t xml:space="preserve"> </w:t>
      </w:r>
      <w:r w:rsidR="007E208F">
        <w:rPr>
          <w:rFonts w:ascii="Times New Roman" w:hAnsi="Times New Roman" w:cs="Times New Roman"/>
          <w:sz w:val="24"/>
          <w:szCs w:val="24"/>
          <w:lang w:val="en-PH"/>
        </w:rPr>
        <w:t xml:space="preserve">(EGD) </w:t>
      </w:r>
      <w:r w:rsidRPr="00EB046E">
        <w:rPr>
          <w:rFonts w:ascii="Times New Roman" w:hAnsi="Times New Roman" w:cs="Times New Roman"/>
          <w:sz w:val="24"/>
          <w:szCs w:val="24"/>
          <w:lang w:val="en-PH"/>
        </w:rPr>
        <w:t xml:space="preserve">that is a comprehensive and ambitious development strategy aimed at turning the continent into a sustainable, carbon-neutral economy by 2050. Together with the EU’s digital strategy it constitutes the new EU sustainable development strategy that is strongly anchored within the global Agenda 2030. </w:t>
      </w:r>
    </w:p>
    <w:p w:rsidR="007A56B9" w:rsidRPr="00EB046E" w:rsidRDefault="007C5CAE" w:rsidP="00D97AF3">
      <w:pPr>
        <w:pStyle w:val="ListParagraph"/>
        <w:numPr>
          <w:ilvl w:val="0"/>
          <w:numId w:val="18"/>
        </w:numPr>
        <w:autoSpaceDE w:val="0"/>
        <w:autoSpaceDN w:val="0"/>
        <w:adjustRightInd w:val="0"/>
        <w:spacing w:after="0" w:line="240" w:lineRule="atLeast"/>
        <w:ind w:left="426"/>
        <w:jc w:val="both"/>
        <w:rPr>
          <w:rFonts w:ascii="Times New Roman" w:hAnsi="Times New Roman" w:cs="Times New Roman"/>
          <w:sz w:val="24"/>
          <w:szCs w:val="24"/>
          <w:lang w:val="en-PH"/>
        </w:rPr>
      </w:pPr>
      <w:r w:rsidRPr="005A4D1D">
        <w:rPr>
          <w:rFonts w:ascii="Times New Roman" w:hAnsi="Times New Roman" w:cs="Times New Roman"/>
          <w:i/>
          <w:sz w:val="24"/>
          <w:szCs w:val="24"/>
          <w:lang w:val="en-PH"/>
        </w:rPr>
        <w:t>Third,</w:t>
      </w:r>
      <w:r>
        <w:rPr>
          <w:rFonts w:ascii="Times New Roman" w:hAnsi="Times New Roman" w:cs="Times New Roman"/>
          <w:sz w:val="24"/>
          <w:szCs w:val="24"/>
          <w:lang w:val="en-PH"/>
        </w:rPr>
        <w:t xml:space="preserve"> t</w:t>
      </w:r>
      <w:r w:rsidR="007A56B9" w:rsidRPr="00EB046E">
        <w:rPr>
          <w:rFonts w:ascii="Times New Roman" w:hAnsi="Times New Roman" w:cs="Times New Roman"/>
          <w:sz w:val="24"/>
          <w:szCs w:val="24"/>
          <w:lang w:val="en-PH"/>
        </w:rPr>
        <w:t xml:space="preserve">he </w:t>
      </w:r>
      <w:r>
        <w:rPr>
          <w:rFonts w:ascii="Times New Roman" w:hAnsi="Times New Roman" w:cs="Times New Roman"/>
          <w:sz w:val="24"/>
          <w:szCs w:val="24"/>
          <w:lang w:val="en-PH"/>
        </w:rPr>
        <w:t xml:space="preserve">new EU strategy for sustainable development has already started to </w:t>
      </w:r>
      <w:r w:rsidR="007A56B9" w:rsidRPr="00EB046E">
        <w:rPr>
          <w:rFonts w:ascii="Times New Roman" w:hAnsi="Times New Roman" w:cs="Times New Roman"/>
          <w:sz w:val="24"/>
          <w:szCs w:val="24"/>
          <w:lang w:val="en-PH"/>
        </w:rPr>
        <w:t xml:space="preserve">trickle down to </w:t>
      </w:r>
      <w:r>
        <w:rPr>
          <w:rFonts w:ascii="Times New Roman" w:hAnsi="Times New Roman" w:cs="Times New Roman"/>
          <w:sz w:val="24"/>
          <w:szCs w:val="24"/>
          <w:lang w:val="en-PH"/>
        </w:rPr>
        <w:t xml:space="preserve">the EU </w:t>
      </w:r>
      <w:r w:rsidR="007A56B9" w:rsidRPr="00EB046E">
        <w:rPr>
          <w:rFonts w:ascii="Times New Roman" w:hAnsi="Times New Roman" w:cs="Times New Roman"/>
          <w:sz w:val="24"/>
          <w:szCs w:val="24"/>
          <w:lang w:val="en-PH"/>
        </w:rPr>
        <w:t xml:space="preserve">candidate countries </w:t>
      </w:r>
      <w:r>
        <w:rPr>
          <w:rFonts w:ascii="Times New Roman" w:hAnsi="Times New Roman" w:cs="Times New Roman"/>
          <w:sz w:val="24"/>
          <w:szCs w:val="24"/>
          <w:lang w:val="en-PH"/>
        </w:rPr>
        <w:t xml:space="preserve">of the region through at least </w:t>
      </w:r>
      <w:r w:rsidR="007A56B9" w:rsidRPr="00EB046E">
        <w:rPr>
          <w:rFonts w:ascii="Times New Roman" w:hAnsi="Times New Roman" w:cs="Times New Roman"/>
          <w:sz w:val="24"/>
          <w:szCs w:val="24"/>
          <w:lang w:val="en-PH"/>
        </w:rPr>
        <w:t xml:space="preserve">two </w:t>
      </w:r>
      <w:r>
        <w:rPr>
          <w:rFonts w:ascii="Times New Roman" w:hAnsi="Times New Roman" w:cs="Times New Roman"/>
          <w:sz w:val="24"/>
          <w:szCs w:val="24"/>
          <w:lang w:val="en-PH"/>
        </w:rPr>
        <w:t xml:space="preserve">channels. </w:t>
      </w:r>
      <w:r w:rsidR="007A56B9" w:rsidRPr="00EB046E">
        <w:rPr>
          <w:rFonts w:ascii="Times New Roman" w:hAnsi="Times New Roman" w:cs="Times New Roman"/>
          <w:sz w:val="24"/>
          <w:szCs w:val="24"/>
          <w:lang w:val="en-PH"/>
        </w:rPr>
        <w:t xml:space="preserve">One is a new generation of </w:t>
      </w:r>
      <w:r>
        <w:rPr>
          <w:rFonts w:ascii="Times New Roman" w:hAnsi="Times New Roman" w:cs="Times New Roman"/>
          <w:sz w:val="24"/>
          <w:szCs w:val="24"/>
          <w:lang w:val="en-PH"/>
        </w:rPr>
        <w:t xml:space="preserve">the </w:t>
      </w:r>
      <w:r w:rsidR="007A56B9" w:rsidRPr="00EB046E">
        <w:rPr>
          <w:rFonts w:ascii="Times New Roman" w:hAnsi="Times New Roman" w:cs="Times New Roman"/>
          <w:sz w:val="24"/>
          <w:szCs w:val="24"/>
          <w:lang w:val="en-PH"/>
        </w:rPr>
        <w:t>EU legal acts that have been and will be adopted in order to put the E</w:t>
      </w:r>
      <w:r w:rsidR="007E208F">
        <w:rPr>
          <w:rFonts w:ascii="Times New Roman" w:hAnsi="Times New Roman" w:cs="Times New Roman"/>
          <w:sz w:val="24"/>
          <w:szCs w:val="24"/>
          <w:lang w:val="en-PH"/>
        </w:rPr>
        <w:t xml:space="preserve">DG </w:t>
      </w:r>
      <w:r>
        <w:rPr>
          <w:rFonts w:ascii="Times New Roman" w:hAnsi="Times New Roman" w:cs="Times New Roman"/>
          <w:sz w:val="24"/>
          <w:szCs w:val="24"/>
          <w:lang w:val="en-PH"/>
        </w:rPr>
        <w:t xml:space="preserve">and the digital agenda </w:t>
      </w:r>
      <w:r w:rsidR="007E208F">
        <w:rPr>
          <w:rFonts w:ascii="Times New Roman" w:hAnsi="Times New Roman" w:cs="Times New Roman"/>
          <w:sz w:val="24"/>
          <w:szCs w:val="24"/>
          <w:lang w:val="en-PH"/>
        </w:rPr>
        <w:t xml:space="preserve">into </w:t>
      </w:r>
      <w:r w:rsidR="007A56B9" w:rsidRPr="00EB046E">
        <w:rPr>
          <w:rFonts w:ascii="Times New Roman" w:hAnsi="Times New Roman" w:cs="Times New Roman"/>
          <w:sz w:val="24"/>
          <w:szCs w:val="24"/>
          <w:lang w:val="en-PH"/>
        </w:rPr>
        <w:t xml:space="preserve">motion. </w:t>
      </w:r>
      <w:r>
        <w:rPr>
          <w:rFonts w:ascii="Times New Roman" w:hAnsi="Times New Roman" w:cs="Times New Roman"/>
          <w:sz w:val="24"/>
          <w:szCs w:val="24"/>
          <w:lang w:val="en-PH"/>
        </w:rPr>
        <w:t>The other channel is the i</w:t>
      </w:r>
      <w:r w:rsidR="007A56B9" w:rsidRPr="00EB046E">
        <w:rPr>
          <w:rFonts w:ascii="Times New Roman" w:hAnsi="Times New Roman" w:cs="Times New Roman"/>
          <w:sz w:val="24"/>
          <w:szCs w:val="24"/>
          <w:lang w:val="en-PH"/>
        </w:rPr>
        <w:t>ntegration of the E</w:t>
      </w:r>
      <w:r w:rsidR="007E208F">
        <w:rPr>
          <w:rFonts w:ascii="Times New Roman" w:hAnsi="Times New Roman" w:cs="Times New Roman"/>
          <w:sz w:val="24"/>
          <w:szCs w:val="24"/>
          <w:lang w:val="en-PH"/>
        </w:rPr>
        <w:t xml:space="preserve">DG </w:t>
      </w:r>
      <w:r w:rsidR="007A56B9" w:rsidRPr="00EB046E">
        <w:rPr>
          <w:rFonts w:ascii="Times New Roman" w:hAnsi="Times New Roman" w:cs="Times New Roman"/>
          <w:sz w:val="24"/>
          <w:szCs w:val="24"/>
          <w:lang w:val="en-PH"/>
        </w:rPr>
        <w:t xml:space="preserve">and digitalisation objectives into </w:t>
      </w:r>
      <w:r>
        <w:rPr>
          <w:rFonts w:ascii="Times New Roman" w:hAnsi="Times New Roman" w:cs="Times New Roman"/>
          <w:sz w:val="24"/>
          <w:szCs w:val="24"/>
          <w:lang w:val="en-PH"/>
        </w:rPr>
        <w:t xml:space="preserve">national documents of the EU candidate countries, such </w:t>
      </w:r>
      <w:r w:rsidR="007A56B9" w:rsidRPr="00EB046E">
        <w:rPr>
          <w:rFonts w:ascii="Times New Roman" w:hAnsi="Times New Roman" w:cs="Times New Roman"/>
          <w:sz w:val="24"/>
          <w:szCs w:val="24"/>
          <w:lang w:val="en-PH"/>
        </w:rPr>
        <w:t xml:space="preserve">as Economic Reform Programs </w:t>
      </w:r>
      <w:r w:rsidR="007E208F">
        <w:rPr>
          <w:rFonts w:ascii="Times New Roman" w:hAnsi="Times New Roman" w:cs="Times New Roman"/>
          <w:sz w:val="24"/>
          <w:szCs w:val="24"/>
          <w:lang w:val="en-PH"/>
        </w:rPr>
        <w:t>(ERPs)</w:t>
      </w:r>
      <w:r>
        <w:rPr>
          <w:rFonts w:ascii="Times New Roman" w:hAnsi="Times New Roman" w:cs="Times New Roman"/>
          <w:sz w:val="24"/>
          <w:szCs w:val="24"/>
          <w:lang w:val="en-PH"/>
        </w:rPr>
        <w:t xml:space="preserve">, that the EU candidate countries produce annually as a basis for a policy dialogues on socio-economic issues with the EU institutions. </w:t>
      </w:r>
      <w:r w:rsidR="007A56B9" w:rsidRPr="00EB046E">
        <w:rPr>
          <w:rFonts w:ascii="Times New Roman" w:hAnsi="Times New Roman" w:cs="Times New Roman"/>
          <w:sz w:val="24"/>
          <w:szCs w:val="24"/>
          <w:lang w:val="en-PH"/>
        </w:rPr>
        <w:t xml:space="preserve"> </w:t>
      </w:r>
    </w:p>
    <w:p w:rsidR="00AF4544" w:rsidRPr="00EB046E" w:rsidRDefault="007A56B9" w:rsidP="00D97AF3">
      <w:pPr>
        <w:pStyle w:val="ListParagraph"/>
        <w:numPr>
          <w:ilvl w:val="0"/>
          <w:numId w:val="18"/>
        </w:numPr>
        <w:spacing w:line="240" w:lineRule="atLeast"/>
        <w:ind w:left="426"/>
        <w:jc w:val="both"/>
        <w:rPr>
          <w:rFonts w:ascii="Times New Roman" w:hAnsi="Times New Roman" w:cs="Times New Roman"/>
          <w:sz w:val="24"/>
          <w:szCs w:val="24"/>
          <w:lang w:val="en-PH"/>
        </w:rPr>
      </w:pPr>
      <w:r w:rsidRPr="00EB046E">
        <w:rPr>
          <w:rFonts w:ascii="Times New Roman" w:hAnsi="Times New Roman" w:cs="Times New Roman"/>
          <w:sz w:val="24"/>
          <w:szCs w:val="24"/>
          <w:lang w:val="en-PH"/>
        </w:rPr>
        <w:t xml:space="preserve">And </w:t>
      </w:r>
      <w:r w:rsidR="007C5CAE">
        <w:rPr>
          <w:rFonts w:ascii="Times New Roman" w:hAnsi="Times New Roman" w:cs="Times New Roman"/>
          <w:i/>
          <w:sz w:val="24"/>
          <w:szCs w:val="24"/>
          <w:lang w:val="en-PH"/>
        </w:rPr>
        <w:t xml:space="preserve">fourth, </w:t>
      </w:r>
      <w:r w:rsidR="00AF4544" w:rsidRPr="00EB046E">
        <w:rPr>
          <w:rFonts w:ascii="Times New Roman" w:hAnsi="Times New Roman" w:cs="Times New Roman"/>
          <w:sz w:val="24"/>
          <w:szCs w:val="24"/>
          <w:lang w:val="en-PH"/>
        </w:rPr>
        <w:t>North Macedonia’s strategic objective is to become an EU member state and is expected to start EU accession negotiations under a completely new negotiations framework. This framework has recently changed from the “chapter-by-chapter” approach to the “</w:t>
      </w:r>
      <w:r w:rsidR="00350C8E">
        <w:rPr>
          <w:rFonts w:ascii="Times New Roman" w:hAnsi="Times New Roman" w:cs="Times New Roman"/>
          <w:sz w:val="24"/>
          <w:szCs w:val="24"/>
          <w:lang w:val="en-PH"/>
        </w:rPr>
        <w:t xml:space="preserve">clusters” </w:t>
      </w:r>
      <w:r w:rsidR="00AF4544" w:rsidRPr="00EB046E">
        <w:rPr>
          <w:rFonts w:ascii="Times New Roman" w:hAnsi="Times New Roman" w:cs="Times New Roman"/>
          <w:sz w:val="24"/>
          <w:szCs w:val="24"/>
          <w:lang w:val="en-PH"/>
        </w:rPr>
        <w:t xml:space="preserve">approach whereby the overall progress in the negotiations (or lack of it) </w:t>
      </w:r>
      <w:r w:rsidRPr="00EB046E">
        <w:rPr>
          <w:rFonts w:ascii="Times New Roman" w:hAnsi="Times New Roman" w:cs="Times New Roman"/>
          <w:sz w:val="24"/>
          <w:szCs w:val="24"/>
          <w:lang w:val="en-PH"/>
        </w:rPr>
        <w:t xml:space="preserve">in meeting the Copenhagen accession criteria </w:t>
      </w:r>
      <w:r w:rsidR="00AF4544" w:rsidRPr="00EB046E">
        <w:rPr>
          <w:rFonts w:ascii="Times New Roman" w:hAnsi="Times New Roman" w:cs="Times New Roman"/>
          <w:sz w:val="24"/>
          <w:szCs w:val="24"/>
          <w:lang w:val="en-PH"/>
        </w:rPr>
        <w:t xml:space="preserve">will be strongly dependent on the progress the candidate country will make in a following three horizontal areas: (i) democracy and rule of law, (ii) public administration, and (iii) meeting economic criteria. </w:t>
      </w:r>
    </w:p>
    <w:p w:rsidR="00AF4544" w:rsidRDefault="00AF4544" w:rsidP="00AF4544">
      <w:pPr>
        <w:spacing w:line="240" w:lineRule="auto"/>
        <w:jc w:val="both"/>
        <w:rPr>
          <w:rFonts w:ascii="Times New Roman" w:hAnsi="Times New Roman" w:cs="Times New Roman"/>
          <w:sz w:val="24"/>
          <w:szCs w:val="24"/>
          <w:lang w:val="en-PH"/>
        </w:rPr>
      </w:pPr>
    </w:p>
    <w:p w:rsidR="00950FB4" w:rsidRDefault="00950FB4" w:rsidP="00950FB4">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1.2. Objective of the Report </w:t>
      </w:r>
    </w:p>
    <w:p w:rsidR="000D1512" w:rsidRDefault="000D1512" w:rsidP="00D97AF3">
      <w:pPr>
        <w:autoSpaceDE w:val="0"/>
        <w:autoSpaceDN w:val="0"/>
        <w:adjustRightInd w:val="0"/>
        <w:spacing w:after="0" w:line="240" w:lineRule="atLeast"/>
        <w:jc w:val="both"/>
        <w:rPr>
          <w:rFonts w:ascii="Times New Roman" w:hAnsi="Times New Roman" w:cs="Times New Roman"/>
          <w:b/>
          <w:sz w:val="24"/>
          <w:szCs w:val="24"/>
          <w:lang w:val="en-PH"/>
        </w:rPr>
      </w:pPr>
    </w:p>
    <w:p w:rsidR="00950FB4" w:rsidRDefault="007A56B9" w:rsidP="00D97AF3">
      <w:pPr>
        <w:spacing w:line="240" w:lineRule="atLeast"/>
        <w:jc w:val="both"/>
        <w:rPr>
          <w:rFonts w:ascii="Times New Roman" w:hAnsi="Times New Roman" w:cs="Times New Roman"/>
          <w:sz w:val="24"/>
          <w:szCs w:val="24"/>
          <w:lang w:val="en-PH"/>
        </w:rPr>
      </w:pPr>
      <w:r>
        <w:rPr>
          <w:rFonts w:ascii="Times New Roman" w:hAnsi="Times New Roman" w:cs="Times New Roman"/>
          <w:bCs/>
          <w:sz w:val="24"/>
          <w:szCs w:val="24"/>
          <w:lang w:val="en-PH"/>
        </w:rPr>
        <w:t xml:space="preserve">The main objective of the Report as articulated by the </w:t>
      </w:r>
      <w:r w:rsidR="00950FB4" w:rsidRPr="00950FB4">
        <w:rPr>
          <w:rFonts w:ascii="Times New Roman" w:hAnsi="Times New Roman" w:cs="Times New Roman"/>
          <w:bCs/>
          <w:sz w:val="24"/>
          <w:szCs w:val="24"/>
          <w:lang w:val="en-PH"/>
        </w:rPr>
        <w:t>ToR</w:t>
      </w:r>
      <w:r>
        <w:rPr>
          <w:rFonts w:ascii="Times New Roman" w:hAnsi="Times New Roman" w:cs="Times New Roman"/>
          <w:bCs/>
          <w:sz w:val="24"/>
          <w:szCs w:val="24"/>
          <w:lang w:val="en-PH"/>
        </w:rPr>
        <w:t xml:space="preserve"> i</w:t>
      </w:r>
      <w:r w:rsidR="00950FB4">
        <w:rPr>
          <w:rFonts w:ascii="Times New Roman" w:hAnsi="Times New Roman" w:cs="Times New Roman"/>
          <w:bCs/>
          <w:sz w:val="24"/>
          <w:szCs w:val="24"/>
          <w:lang w:val="en-PH"/>
        </w:rPr>
        <w:t xml:space="preserve">s </w:t>
      </w:r>
      <w:r w:rsidR="00950FB4" w:rsidRPr="00950FB4">
        <w:rPr>
          <w:rFonts w:ascii="Times New Roman" w:hAnsi="Times New Roman" w:cs="Times New Roman"/>
          <w:bCs/>
          <w:sz w:val="24"/>
          <w:szCs w:val="24"/>
          <w:lang w:val="en-PH"/>
        </w:rPr>
        <w:t>“</w:t>
      </w:r>
      <w:r w:rsidR="00950FB4" w:rsidRPr="00950FB4">
        <w:rPr>
          <w:rFonts w:ascii="Times New Roman" w:hAnsi="Times New Roman" w:cs="Times New Roman"/>
          <w:bCs/>
          <w:i/>
          <w:sz w:val="24"/>
          <w:szCs w:val="24"/>
          <w:lang w:val="en-PH"/>
        </w:rPr>
        <w:t>to analyse</w:t>
      </w:r>
      <w:r w:rsidR="00950FB4" w:rsidRPr="00950FB4">
        <w:rPr>
          <w:rFonts w:ascii="Times New Roman" w:hAnsi="Times New Roman" w:cs="Times New Roman"/>
          <w:bCs/>
          <w:sz w:val="24"/>
          <w:szCs w:val="24"/>
          <w:lang w:val="en-PH"/>
        </w:rPr>
        <w:t xml:space="preserve"> </w:t>
      </w:r>
      <w:r w:rsidR="00950FB4" w:rsidRPr="00950FB4">
        <w:rPr>
          <w:rFonts w:ascii="Times New Roman" w:hAnsi="Times New Roman" w:cs="Times New Roman"/>
          <w:bCs/>
          <w:i/>
          <w:sz w:val="24"/>
          <w:szCs w:val="24"/>
          <w:lang w:val="en-PH"/>
        </w:rPr>
        <w:t xml:space="preserve">how to </w:t>
      </w:r>
      <w:r w:rsidR="00950FB4" w:rsidRPr="00950FB4">
        <w:rPr>
          <w:rFonts w:ascii="Times New Roman" w:hAnsi="Times New Roman" w:cs="Times New Roman"/>
          <w:i/>
          <w:sz w:val="24"/>
          <w:szCs w:val="24"/>
          <w:lang w:val="en-PH"/>
        </w:rPr>
        <w:t>integrate EU accession criteria into the proposed National Development Strategy and to provide recommendations on this subject</w:t>
      </w:r>
      <w:r w:rsidR="00950FB4" w:rsidRPr="00950FB4">
        <w:rPr>
          <w:rFonts w:ascii="Times New Roman" w:hAnsi="Times New Roman" w:cs="Times New Roman"/>
          <w:sz w:val="24"/>
          <w:szCs w:val="24"/>
          <w:lang w:val="en-PH"/>
        </w:rPr>
        <w:t>”</w:t>
      </w:r>
      <w:r w:rsidR="00950FB4">
        <w:rPr>
          <w:rFonts w:ascii="Times New Roman" w:hAnsi="Times New Roman" w:cs="Times New Roman"/>
          <w:sz w:val="24"/>
          <w:szCs w:val="24"/>
          <w:lang w:val="en-PH"/>
        </w:rPr>
        <w:t xml:space="preserve">. </w:t>
      </w:r>
      <w:r w:rsidR="00950FB4" w:rsidRPr="00950FB4">
        <w:rPr>
          <w:rFonts w:ascii="Times New Roman" w:hAnsi="Times New Roman" w:cs="Times New Roman"/>
          <w:sz w:val="24"/>
          <w:szCs w:val="24"/>
          <w:lang w:val="en-PH"/>
        </w:rPr>
        <w:t xml:space="preserve">The overall methodologic framework for </w:t>
      </w:r>
      <w:r w:rsidR="00950FB4">
        <w:rPr>
          <w:rFonts w:ascii="Times New Roman" w:hAnsi="Times New Roman" w:cs="Times New Roman"/>
          <w:sz w:val="24"/>
          <w:szCs w:val="24"/>
          <w:lang w:val="en-PH"/>
        </w:rPr>
        <w:t>preparation of the Report are t</w:t>
      </w:r>
      <w:r w:rsidR="00950FB4" w:rsidRPr="00950FB4">
        <w:rPr>
          <w:rFonts w:ascii="Times New Roman" w:hAnsi="Times New Roman" w:cs="Times New Roman"/>
          <w:sz w:val="24"/>
          <w:szCs w:val="24"/>
          <w:lang w:val="en-PH"/>
        </w:rPr>
        <w:t>he document</w:t>
      </w:r>
      <w:r w:rsidR="00950FB4">
        <w:rPr>
          <w:rFonts w:ascii="Times New Roman" w:hAnsi="Times New Roman" w:cs="Times New Roman"/>
          <w:sz w:val="24"/>
          <w:szCs w:val="24"/>
          <w:lang w:val="en-PH"/>
        </w:rPr>
        <w:t xml:space="preserve">s </w:t>
      </w:r>
      <w:r w:rsidR="00950FB4" w:rsidRPr="00950FB4">
        <w:rPr>
          <w:rFonts w:ascii="Times New Roman" w:hAnsi="Times New Roman" w:cs="Times New Roman"/>
          <w:sz w:val="24"/>
          <w:szCs w:val="24"/>
          <w:lang w:val="en-PH"/>
        </w:rPr>
        <w:t xml:space="preserve">prepared by the </w:t>
      </w:r>
      <w:r w:rsidR="00950FB4">
        <w:rPr>
          <w:rFonts w:ascii="Times New Roman" w:hAnsi="Times New Roman" w:cs="Times New Roman"/>
          <w:sz w:val="24"/>
          <w:szCs w:val="24"/>
          <w:lang w:val="en-PH"/>
        </w:rPr>
        <w:t xml:space="preserve">UNDP </w:t>
      </w:r>
      <w:r w:rsidR="00950FB4" w:rsidRPr="00950FB4">
        <w:rPr>
          <w:rFonts w:ascii="Times New Roman" w:hAnsi="Times New Roman" w:cs="Times New Roman"/>
          <w:sz w:val="24"/>
          <w:szCs w:val="24"/>
          <w:lang w:val="en-PH"/>
        </w:rPr>
        <w:t>project team so far</w:t>
      </w:r>
      <w:r w:rsidR="00950FB4">
        <w:rPr>
          <w:rFonts w:ascii="Times New Roman" w:hAnsi="Times New Roman" w:cs="Times New Roman"/>
          <w:sz w:val="24"/>
          <w:szCs w:val="24"/>
          <w:lang w:val="en-PH"/>
        </w:rPr>
        <w:t xml:space="preserve">, especially the following two ones: (i) </w:t>
      </w:r>
      <w:r w:rsidR="00950FB4" w:rsidRPr="00950FB4">
        <w:rPr>
          <w:rFonts w:ascii="Times New Roman" w:hAnsi="Times New Roman" w:cs="Times New Roman"/>
          <w:sz w:val="24"/>
          <w:szCs w:val="24"/>
          <w:lang w:val="en-PH"/>
        </w:rPr>
        <w:t>“</w:t>
      </w:r>
      <w:r w:rsidR="00950FB4" w:rsidRPr="00950FB4">
        <w:rPr>
          <w:rFonts w:ascii="Times New Roman" w:hAnsi="Times New Roman" w:cs="Times New Roman"/>
          <w:i/>
          <w:sz w:val="24"/>
          <w:szCs w:val="24"/>
          <w:lang w:val="en-PH"/>
        </w:rPr>
        <w:t>Development Plans: A Comparative Review</w:t>
      </w:r>
      <w:r w:rsidR="00950FB4" w:rsidRPr="00950FB4">
        <w:rPr>
          <w:rFonts w:ascii="Times New Roman" w:hAnsi="Times New Roman" w:cs="Times New Roman"/>
          <w:sz w:val="24"/>
          <w:szCs w:val="24"/>
          <w:lang w:val="en-PH"/>
        </w:rPr>
        <w:t>” (received 7 May)</w:t>
      </w:r>
      <w:r w:rsidR="00950FB4">
        <w:rPr>
          <w:rFonts w:ascii="Times New Roman" w:hAnsi="Times New Roman" w:cs="Times New Roman"/>
          <w:sz w:val="24"/>
          <w:szCs w:val="24"/>
          <w:lang w:val="en-PH"/>
        </w:rPr>
        <w:t>,</w:t>
      </w:r>
      <w:r w:rsidR="00950FB4" w:rsidRPr="00950FB4">
        <w:rPr>
          <w:rFonts w:ascii="Times New Roman" w:hAnsi="Times New Roman" w:cs="Times New Roman"/>
          <w:sz w:val="24"/>
          <w:szCs w:val="24"/>
          <w:lang w:val="en-PH"/>
        </w:rPr>
        <w:t xml:space="preserve"> and </w:t>
      </w:r>
      <w:r w:rsidR="00950FB4">
        <w:rPr>
          <w:rFonts w:ascii="Times New Roman" w:hAnsi="Times New Roman" w:cs="Times New Roman"/>
          <w:sz w:val="24"/>
          <w:szCs w:val="24"/>
          <w:lang w:val="en-PH"/>
        </w:rPr>
        <w:t xml:space="preserve">(ii) </w:t>
      </w:r>
      <w:r w:rsidR="00950FB4" w:rsidRPr="00950FB4">
        <w:rPr>
          <w:rFonts w:ascii="Times New Roman" w:hAnsi="Times New Roman" w:cs="Times New Roman"/>
          <w:sz w:val="24"/>
          <w:szCs w:val="24"/>
          <w:lang w:val="en-PH"/>
        </w:rPr>
        <w:t>“</w:t>
      </w:r>
      <w:r w:rsidR="00950FB4" w:rsidRPr="00950FB4">
        <w:rPr>
          <w:rFonts w:ascii="Times New Roman" w:hAnsi="Times New Roman" w:cs="Times New Roman"/>
          <w:i/>
          <w:sz w:val="24"/>
          <w:szCs w:val="24"/>
          <w:lang w:val="en-PH"/>
        </w:rPr>
        <w:t>North Macedonia National Development Strategy 2021-2041: Draft Outline of the Methodological Approach</w:t>
      </w:r>
      <w:r w:rsidR="00950FB4" w:rsidRPr="00950FB4">
        <w:rPr>
          <w:rFonts w:ascii="Times New Roman" w:hAnsi="Times New Roman" w:cs="Times New Roman"/>
          <w:sz w:val="24"/>
          <w:szCs w:val="24"/>
          <w:lang w:val="en-PH"/>
        </w:rPr>
        <w:t xml:space="preserve">“ (received 17 May 2021). </w:t>
      </w:r>
    </w:p>
    <w:p w:rsidR="000D1512" w:rsidRDefault="000D1512" w:rsidP="00950FB4">
      <w:pPr>
        <w:spacing w:line="240" w:lineRule="auto"/>
        <w:jc w:val="both"/>
        <w:rPr>
          <w:rFonts w:ascii="Times New Roman" w:hAnsi="Times New Roman" w:cs="Times New Roman"/>
          <w:sz w:val="24"/>
          <w:szCs w:val="24"/>
          <w:lang w:val="en-PH"/>
        </w:rPr>
      </w:pPr>
    </w:p>
    <w:p w:rsidR="007A56B9" w:rsidRDefault="007A56B9" w:rsidP="007A56B9">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1.3. </w:t>
      </w:r>
      <w:r w:rsidR="002F39CE">
        <w:rPr>
          <w:rFonts w:ascii="Times New Roman" w:hAnsi="Times New Roman" w:cs="Times New Roman"/>
          <w:b/>
          <w:sz w:val="24"/>
          <w:szCs w:val="24"/>
          <w:lang w:val="en-PH"/>
        </w:rPr>
        <w:t xml:space="preserve">Key assumption of the </w:t>
      </w:r>
      <w:r>
        <w:rPr>
          <w:rFonts w:ascii="Times New Roman" w:hAnsi="Times New Roman" w:cs="Times New Roman"/>
          <w:b/>
          <w:sz w:val="24"/>
          <w:szCs w:val="24"/>
          <w:lang w:val="en-PH"/>
        </w:rPr>
        <w:t xml:space="preserve">Report </w:t>
      </w:r>
    </w:p>
    <w:p w:rsidR="007A56B9" w:rsidRDefault="007A56B9" w:rsidP="007A56B9">
      <w:pPr>
        <w:autoSpaceDE w:val="0"/>
        <w:autoSpaceDN w:val="0"/>
        <w:adjustRightInd w:val="0"/>
        <w:spacing w:after="0" w:line="240" w:lineRule="auto"/>
        <w:jc w:val="both"/>
        <w:rPr>
          <w:rFonts w:ascii="Times New Roman" w:hAnsi="Times New Roman" w:cs="Times New Roman"/>
          <w:b/>
          <w:sz w:val="24"/>
          <w:szCs w:val="24"/>
          <w:lang w:val="en-PH"/>
        </w:rPr>
      </w:pPr>
    </w:p>
    <w:p w:rsidR="009E67DC" w:rsidRDefault="007A56B9" w:rsidP="00C33E26">
      <w:pPr>
        <w:autoSpaceDE w:val="0"/>
        <w:autoSpaceDN w:val="0"/>
        <w:adjustRightInd w:val="0"/>
        <w:spacing w:after="0" w:line="240" w:lineRule="auto"/>
        <w:jc w:val="both"/>
        <w:rPr>
          <w:rFonts w:ascii="Times New Roman" w:hAnsi="Times New Roman" w:cs="Times New Roman"/>
          <w:sz w:val="24"/>
          <w:szCs w:val="24"/>
          <w:lang w:val="en-PH"/>
        </w:rPr>
      </w:pPr>
      <w:r w:rsidRPr="007A56B9">
        <w:rPr>
          <w:rFonts w:ascii="Times New Roman" w:hAnsi="Times New Roman" w:cs="Times New Roman"/>
          <w:sz w:val="24"/>
          <w:szCs w:val="24"/>
          <w:lang w:val="en-PH"/>
        </w:rPr>
        <w:t xml:space="preserve">Experiences from </w:t>
      </w:r>
      <w:r>
        <w:rPr>
          <w:rFonts w:ascii="Times New Roman" w:hAnsi="Times New Roman" w:cs="Times New Roman"/>
          <w:sz w:val="24"/>
          <w:szCs w:val="24"/>
          <w:lang w:val="en-PH"/>
        </w:rPr>
        <w:t xml:space="preserve">countries that joined the EU over the last two decades </w:t>
      </w:r>
      <w:r w:rsidR="00C33E26">
        <w:rPr>
          <w:rFonts w:ascii="Times New Roman" w:hAnsi="Times New Roman" w:cs="Times New Roman"/>
          <w:sz w:val="24"/>
          <w:szCs w:val="24"/>
          <w:lang w:val="en-PH"/>
        </w:rPr>
        <w:t xml:space="preserve">indicate that the EU accession negotiations influence strongly the overall </w:t>
      </w:r>
      <w:r w:rsidR="009E67DC">
        <w:rPr>
          <w:rFonts w:ascii="Times New Roman" w:hAnsi="Times New Roman" w:cs="Times New Roman"/>
          <w:sz w:val="24"/>
          <w:szCs w:val="24"/>
          <w:lang w:val="en-PH"/>
        </w:rPr>
        <w:t xml:space="preserve">socio-economic and political </w:t>
      </w:r>
      <w:r w:rsidR="00C33E26">
        <w:rPr>
          <w:rFonts w:ascii="Times New Roman" w:hAnsi="Times New Roman" w:cs="Times New Roman"/>
          <w:sz w:val="24"/>
          <w:szCs w:val="24"/>
          <w:lang w:val="en-PH"/>
        </w:rPr>
        <w:t>development of the candidate country concerned. Implementation of North Macedonia’s N</w:t>
      </w:r>
      <w:r w:rsidR="009E67DC">
        <w:rPr>
          <w:rFonts w:ascii="Times New Roman" w:hAnsi="Times New Roman" w:cs="Times New Roman"/>
          <w:sz w:val="24"/>
          <w:szCs w:val="24"/>
          <w:lang w:val="en-PH"/>
        </w:rPr>
        <w:t xml:space="preserve">DS </w:t>
      </w:r>
      <w:r w:rsidR="00C33E26">
        <w:rPr>
          <w:rFonts w:ascii="Times New Roman" w:hAnsi="Times New Roman" w:cs="Times New Roman"/>
          <w:sz w:val="24"/>
          <w:szCs w:val="24"/>
          <w:lang w:val="en-PH"/>
        </w:rPr>
        <w:t>2021-2041</w:t>
      </w:r>
      <w:r w:rsidR="00567868">
        <w:rPr>
          <w:rFonts w:ascii="Times New Roman" w:hAnsi="Times New Roman" w:cs="Times New Roman"/>
          <w:sz w:val="24"/>
          <w:szCs w:val="24"/>
          <w:lang w:val="en-PH"/>
        </w:rPr>
        <w:t xml:space="preserve">, especially </w:t>
      </w:r>
      <w:r w:rsidR="00320799">
        <w:rPr>
          <w:rFonts w:ascii="Times New Roman" w:hAnsi="Times New Roman" w:cs="Times New Roman"/>
          <w:sz w:val="24"/>
          <w:szCs w:val="24"/>
          <w:lang w:val="en-PH"/>
        </w:rPr>
        <w:t>with</w:t>
      </w:r>
      <w:r w:rsidR="00567868">
        <w:rPr>
          <w:rFonts w:ascii="Times New Roman" w:hAnsi="Times New Roman" w:cs="Times New Roman"/>
          <w:sz w:val="24"/>
          <w:szCs w:val="24"/>
          <w:lang w:val="en-PH"/>
        </w:rPr>
        <w:t xml:space="preserve">in its first decade, </w:t>
      </w:r>
      <w:r w:rsidR="00C33E26">
        <w:rPr>
          <w:rFonts w:ascii="Times New Roman" w:hAnsi="Times New Roman" w:cs="Times New Roman"/>
          <w:sz w:val="24"/>
          <w:szCs w:val="24"/>
          <w:lang w:val="en-PH"/>
        </w:rPr>
        <w:t xml:space="preserve">will therefore be strongly influenced by the </w:t>
      </w:r>
      <w:r w:rsidR="00567868">
        <w:rPr>
          <w:rFonts w:ascii="Times New Roman" w:hAnsi="Times New Roman" w:cs="Times New Roman"/>
          <w:sz w:val="24"/>
          <w:szCs w:val="24"/>
          <w:lang w:val="en-PH"/>
        </w:rPr>
        <w:t>characteristics of the c</w:t>
      </w:r>
      <w:r w:rsidR="00C33E26">
        <w:rPr>
          <w:rFonts w:ascii="Times New Roman" w:hAnsi="Times New Roman" w:cs="Times New Roman"/>
          <w:sz w:val="24"/>
          <w:szCs w:val="24"/>
          <w:lang w:val="en-PH"/>
        </w:rPr>
        <w:t xml:space="preserve">ountry’s EU accession path in the forthcoming period. </w:t>
      </w:r>
    </w:p>
    <w:p w:rsidR="009E67DC" w:rsidRDefault="009E67DC" w:rsidP="00C33E26">
      <w:pPr>
        <w:autoSpaceDE w:val="0"/>
        <w:autoSpaceDN w:val="0"/>
        <w:adjustRightInd w:val="0"/>
        <w:spacing w:after="0" w:line="240" w:lineRule="auto"/>
        <w:jc w:val="both"/>
        <w:rPr>
          <w:rFonts w:ascii="Times New Roman" w:hAnsi="Times New Roman" w:cs="Times New Roman"/>
          <w:sz w:val="24"/>
          <w:szCs w:val="24"/>
          <w:lang w:val="en-PH"/>
        </w:rPr>
      </w:pPr>
    </w:p>
    <w:p w:rsidR="00567868" w:rsidRDefault="007A56B9" w:rsidP="00C33E26">
      <w:pPr>
        <w:autoSpaceDE w:val="0"/>
        <w:autoSpaceDN w:val="0"/>
        <w:adjustRightInd w:val="0"/>
        <w:spacing w:after="0" w:line="240" w:lineRule="auto"/>
        <w:jc w:val="both"/>
        <w:rPr>
          <w:rFonts w:ascii="Times New Roman" w:hAnsi="Times New Roman" w:cs="Times New Roman"/>
          <w:sz w:val="24"/>
          <w:szCs w:val="24"/>
          <w:lang w:val="en-PH"/>
        </w:rPr>
      </w:pPr>
      <w:r w:rsidRPr="00C33E26">
        <w:rPr>
          <w:rFonts w:ascii="Times New Roman" w:hAnsi="Times New Roman" w:cs="Times New Roman"/>
          <w:sz w:val="24"/>
          <w:szCs w:val="24"/>
          <w:lang w:val="en-PH"/>
        </w:rPr>
        <w:t xml:space="preserve">There are two quite different scenarios for North Macedonia </w:t>
      </w:r>
      <w:r w:rsidR="009E67DC">
        <w:rPr>
          <w:rFonts w:ascii="Times New Roman" w:hAnsi="Times New Roman" w:cs="Times New Roman"/>
          <w:sz w:val="24"/>
          <w:szCs w:val="24"/>
          <w:lang w:val="en-PH"/>
        </w:rPr>
        <w:t xml:space="preserve">with respect to its EU accession over the next decade. </w:t>
      </w:r>
      <w:r w:rsidR="00C33E26">
        <w:rPr>
          <w:rFonts w:ascii="Times New Roman" w:hAnsi="Times New Roman" w:cs="Times New Roman"/>
          <w:sz w:val="24"/>
          <w:szCs w:val="24"/>
          <w:lang w:val="en-PH"/>
        </w:rPr>
        <w:t xml:space="preserve">One scenario is </w:t>
      </w:r>
      <w:r w:rsidRPr="00C33E26">
        <w:rPr>
          <w:rFonts w:ascii="Times New Roman" w:hAnsi="Times New Roman" w:cs="Times New Roman"/>
          <w:sz w:val="24"/>
          <w:szCs w:val="24"/>
          <w:lang w:val="en-PH"/>
        </w:rPr>
        <w:t xml:space="preserve">that the country </w:t>
      </w:r>
      <w:r w:rsidR="00C33E26">
        <w:rPr>
          <w:rFonts w:ascii="Times New Roman" w:hAnsi="Times New Roman" w:cs="Times New Roman"/>
          <w:sz w:val="24"/>
          <w:szCs w:val="24"/>
          <w:lang w:val="en-PH"/>
        </w:rPr>
        <w:t xml:space="preserve">starts </w:t>
      </w:r>
      <w:r w:rsidRPr="00C33E26">
        <w:rPr>
          <w:rFonts w:ascii="Times New Roman" w:hAnsi="Times New Roman" w:cs="Times New Roman"/>
          <w:sz w:val="24"/>
          <w:szCs w:val="24"/>
          <w:lang w:val="en-PH"/>
        </w:rPr>
        <w:t xml:space="preserve">the EU accession negotiations this or at least next year, completes the EU accession process in the next five </w:t>
      </w:r>
      <w:r w:rsidR="009E67DC">
        <w:rPr>
          <w:rFonts w:ascii="Times New Roman" w:hAnsi="Times New Roman" w:cs="Times New Roman"/>
          <w:sz w:val="24"/>
          <w:szCs w:val="24"/>
          <w:lang w:val="en-PH"/>
        </w:rPr>
        <w:t xml:space="preserve">to </w:t>
      </w:r>
      <w:r w:rsidRPr="00C33E26">
        <w:rPr>
          <w:rFonts w:ascii="Times New Roman" w:hAnsi="Times New Roman" w:cs="Times New Roman"/>
          <w:sz w:val="24"/>
          <w:szCs w:val="24"/>
          <w:lang w:val="en-PH"/>
        </w:rPr>
        <w:t xml:space="preserve">six years, and becomes an EU member by around 2030. The </w:t>
      </w:r>
      <w:r w:rsidR="009E67DC">
        <w:rPr>
          <w:rFonts w:ascii="Times New Roman" w:hAnsi="Times New Roman" w:cs="Times New Roman"/>
          <w:sz w:val="24"/>
          <w:szCs w:val="24"/>
          <w:lang w:val="en-PH"/>
        </w:rPr>
        <w:t xml:space="preserve">other </w:t>
      </w:r>
      <w:r w:rsidRPr="00C33E26">
        <w:rPr>
          <w:rFonts w:ascii="Times New Roman" w:hAnsi="Times New Roman" w:cs="Times New Roman"/>
          <w:sz w:val="24"/>
          <w:szCs w:val="24"/>
          <w:lang w:val="en-PH"/>
        </w:rPr>
        <w:t>scenario is that this will not happen</w:t>
      </w:r>
      <w:r w:rsidR="00320799">
        <w:rPr>
          <w:rFonts w:ascii="Times New Roman" w:hAnsi="Times New Roman" w:cs="Times New Roman"/>
          <w:sz w:val="24"/>
          <w:szCs w:val="24"/>
          <w:lang w:val="en-PH"/>
        </w:rPr>
        <w:t xml:space="preserve"> for whatever reason</w:t>
      </w:r>
      <w:r w:rsidRPr="00C33E26">
        <w:rPr>
          <w:rFonts w:ascii="Times New Roman" w:hAnsi="Times New Roman" w:cs="Times New Roman"/>
          <w:sz w:val="24"/>
          <w:szCs w:val="24"/>
          <w:lang w:val="en-PH"/>
        </w:rPr>
        <w:t xml:space="preserve">. </w:t>
      </w:r>
      <w:r w:rsidR="009E67DC">
        <w:rPr>
          <w:rFonts w:ascii="Times New Roman" w:hAnsi="Times New Roman" w:cs="Times New Roman"/>
          <w:sz w:val="24"/>
          <w:szCs w:val="24"/>
          <w:lang w:val="en-PH"/>
        </w:rPr>
        <w:t xml:space="preserve">The two scenarios may have quite different implications on both, the design and implementation of the NDS 2021-2041  </w:t>
      </w:r>
    </w:p>
    <w:p w:rsidR="00C33E26" w:rsidRDefault="00C33E26" w:rsidP="00C33E26">
      <w:pPr>
        <w:autoSpaceDE w:val="0"/>
        <w:autoSpaceDN w:val="0"/>
        <w:adjustRightInd w:val="0"/>
        <w:spacing w:after="0" w:line="240" w:lineRule="auto"/>
        <w:jc w:val="both"/>
        <w:rPr>
          <w:rFonts w:ascii="Times New Roman" w:hAnsi="Times New Roman" w:cs="Times New Roman"/>
          <w:sz w:val="24"/>
          <w:szCs w:val="24"/>
          <w:lang w:val="en-PH"/>
        </w:rPr>
      </w:pPr>
    </w:p>
    <w:p w:rsidR="007A56B9" w:rsidRPr="00C33E26" w:rsidRDefault="00C33E26" w:rsidP="00C33E26">
      <w:pPr>
        <w:autoSpaceDE w:val="0"/>
        <w:autoSpaceDN w:val="0"/>
        <w:adjustRightInd w:val="0"/>
        <w:spacing w:after="0" w:line="240" w:lineRule="auto"/>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This Report is prepared under the scenario </w:t>
      </w:r>
      <w:r w:rsidR="007B20B6">
        <w:rPr>
          <w:rFonts w:ascii="Times New Roman" w:hAnsi="Times New Roman" w:cs="Times New Roman"/>
          <w:sz w:val="24"/>
          <w:szCs w:val="24"/>
          <w:lang w:val="en-PH"/>
        </w:rPr>
        <w:t xml:space="preserve">that </w:t>
      </w:r>
      <w:r w:rsidR="00567868">
        <w:rPr>
          <w:rFonts w:ascii="Times New Roman" w:hAnsi="Times New Roman" w:cs="Times New Roman"/>
          <w:sz w:val="24"/>
          <w:szCs w:val="24"/>
          <w:lang w:val="en-PH"/>
        </w:rPr>
        <w:t>North Macedonia will enter into the EU accession negotiations within the next year or so.</w:t>
      </w:r>
      <w:r w:rsidR="002F39CE">
        <w:rPr>
          <w:rFonts w:ascii="Times New Roman" w:hAnsi="Times New Roman" w:cs="Times New Roman"/>
          <w:sz w:val="24"/>
          <w:szCs w:val="24"/>
          <w:lang w:val="en-PH"/>
        </w:rPr>
        <w:t xml:space="preserve"> Under this scenario</w:t>
      </w:r>
      <w:r w:rsidR="008555CC">
        <w:rPr>
          <w:rFonts w:ascii="Times New Roman" w:hAnsi="Times New Roman" w:cs="Times New Roman"/>
          <w:sz w:val="24"/>
          <w:szCs w:val="24"/>
          <w:lang w:val="en-PH"/>
        </w:rPr>
        <w:t xml:space="preserve"> of the EU accession</w:t>
      </w:r>
      <w:r w:rsidR="002F39CE">
        <w:rPr>
          <w:rFonts w:ascii="Times New Roman" w:hAnsi="Times New Roman" w:cs="Times New Roman"/>
          <w:sz w:val="24"/>
          <w:szCs w:val="24"/>
          <w:lang w:val="en-PH"/>
        </w:rPr>
        <w:t xml:space="preserve">, </w:t>
      </w:r>
      <w:r w:rsidR="007A56B9" w:rsidRPr="00C33E26">
        <w:rPr>
          <w:rFonts w:ascii="Times New Roman" w:hAnsi="Times New Roman" w:cs="Times New Roman"/>
          <w:sz w:val="24"/>
          <w:szCs w:val="24"/>
          <w:lang w:val="en-PH"/>
        </w:rPr>
        <w:t>the</w:t>
      </w:r>
      <w:r w:rsidR="007B20B6">
        <w:rPr>
          <w:rFonts w:ascii="Times New Roman" w:hAnsi="Times New Roman" w:cs="Times New Roman"/>
          <w:sz w:val="24"/>
          <w:szCs w:val="24"/>
          <w:lang w:val="en-PH"/>
        </w:rPr>
        <w:t xml:space="preserve"> 20-years long</w:t>
      </w:r>
      <w:r w:rsidR="007A56B9" w:rsidRPr="00C33E26">
        <w:rPr>
          <w:rFonts w:ascii="Times New Roman" w:hAnsi="Times New Roman" w:cs="Times New Roman"/>
          <w:sz w:val="24"/>
          <w:szCs w:val="24"/>
          <w:lang w:val="en-PH"/>
        </w:rPr>
        <w:t xml:space="preserve"> </w:t>
      </w:r>
      <w:r w:rsidR="002F39CE">
        <w:rPr>
          <w:rFonts w:ascii="Times New Roman" w:hAnsi="Times New Roman" w:cs="Times New Roman"/>
          <w:sz w:val="24"/>
          <w:szCs w:val="24"/>
          <w:lang w:val="en-PH"/>
        </w:rPr>
        <w:t>time horizon of the N</w:t>
      </w:r>
      <w:r w:rsidR="007B20B6">
        <w:rPr>
          <w:rFonts w:ascii="Times New Roman" w:hAnsi="Times New Roman" w:cs="Times New Roman"/>
          <w:sz w:val="24"/>
          <w:szCs w:val="24"/>
          <w:lang w:val="en-PH"/>
        </w:rPr>
        <w:t xml:space="preserve">DS </w:t>
      </w:r>
      <w:r w:rsidR="002F39CE">
        <w:rPr>
          <w:rFonts w:ascii="Times New Roman" w:hAnsi="Times New Roman" w:cs="Times New Roman"/>
          <w:sz w:val="24"/>
          <w:szCs w:val="24"/>
          <w:lang w:val="en-PH"/>
        </w:rPr>
        <w:t xml:space="preserve">2021-2041 </w:t>
      </w:r>
      <w:r w:rsidR="007A56B9" w:rsidRPr="00C33E26">
        <w:rPr>
          <w:rFonts w:ascii="Times New Roman" w:hAnsi="Times New Roman" w:cs="Times New Roman"/>
          <w:sz w:val="24"/>
          <w:szCs w:val="24"/>
          <w:lang w:val="en-PH"/>
        </w:rPr>
        <w:t xml:space="preserve">will </w:t>
      </w:r>
      <w:r w:rsidR="007B20B6" w:rsidRPr="007B20B6">
        <w:rPr>
          <w:rFonts w:ascii="Times New Roman" w:hAnsi="Times New Roman" w:cs="Times New Roman"/>
          <w:i/>
          <w:sz w:val="24"/>
          <w:szCs w:val="24"/>
          <w:lang w:val="en-PH"/>
        </w:rPr>
        <w:t>de-facto</w:t>
      </w:r>
      <w:r w:rsidR="007B20B6">
        <w:rPr>
          <w:rFonts w:ascii="Times New Roman" w:hAnsi="Times New Roman" w:cs="Times New Roman"/>
          <w:sz w:val="24"/>
          <w:szCs w:val="24"/>
          <w:lang w:val="en-PH"/>
        </w:rPr>
        <w:t xml:space="preserve"> be split </w:t>
      </w:r>
      <w:r w:rsidR="002F39CE">
        <w:rPr>
          <w:rFonts w:ascii="Times New Roman" w:hAnsi="Times New Roman" w:cs="Times New Roman"/>
          <w:sz w:val="24"/>
          <w:szCs w:val="24"/>
          <w:lang w:val="en-PH"/>
        </w:rPr>
        <w:t>i</w:t>
      </w:r>
      <w:r w:rsidR="007A56B9" w:rsidRPr="00C33E26">
        <w:rPr>
          <w:rFonts w:ascii="Times New Roman" w:hAnsi="Times New Roman" w:cs="Times New Roman"/>
          <w:sz w:val="24"/>
          <w:szCs w:val="24"/>
          <w:lang w:val="en-PH"/>
        </w:rPr>
        <w:t xml:space="preserve">nto two </w:t>
      </w:r>
      <w:r w:rsidR="007B20B6">
        <w:rPr>
          <w:rFonts w:ascii="Times New Roman" w:hAnsi="Times New Roman" w:cs="Times New Roman"/>
          <w:sz w:val="24"/>
          <w:szCs w:val="24"/>
          <w:lang w:val="en-PH"/>
        </w:rPr>
        <w:t xml:space="preserve">quite </w:t>
      </w:r>
      <w:r w:rsidR="007A56B9" w:rsidRPr="00C33E26">
        <w:rPr>
          <w:rFonts w:ascii="Times New Roman" w:hAnsi="Times New Roman" w:cs="Times New Roman"/>
          <w:sz w:val="24"/>
          <w:szCs w:val="24"/>
          <w:lang w:val="en-PH"/>
        </w:rPr>
        <w:t xml:space="preserve">different sub-periods, one before </w:t>
      </w:r>
      <w:r w:rsidR="007B20B6">
        <w:rPr>
          <w:rFonts w:ascii="Times New Roman" w:hAnsi="Times New Roman" w:cs="Times New Roman"/>
          <w:sz w:val="24"/>
          <w:szCs w:val="24"/>
          <w:lang w:val="en-PH"/>
        </w:rPr>
        <w:t xml:space="preserve">the country becomes an EU member and </w:t>
      </w:r>
      <w:r w:rsidR="007A56B9" w:rsidRPr="00C33E26">
        <w:rPr>
          <w:rFonts w:ascii="Times New Roman" w:hAnsi="Times New Roman" w:cs="Times New Roman"/>
          <w:sz w:val="24"/>
          <w:szCs w:val="24"/>
          <w:lang w:val="en-PH"/>
        </w:rPr>
        <w:t xml:space="preserve">another one </w:t>
      </w:r>
      <w:r w:rsidR="007B20B6">
        <w:rPr>
          <w:rFonts w:ascii="Times New Roman" w:hAnsi="Times New Roman" w:cs="Times New Roman"/>
          <w:sz w:val="24"/>
          <w:szCs w:val="24"/>
          <w:lang w:val="en-PH"/>
        </w:rPr>
        <w:t xml:space="preserve">then after. </w:t>
      </w:r>
      <w:r w:rsidR="002F39CE">
        <w:rPr>
          <w:rFonts w:ascii="Times New Roman" w:hAnsi="Times New Roman" w:cs="Times New Roman"/>
          <w:sz w:val="24"/>
          <w:szCs w:val="24"/>
          <w:lang w:val="en-PH"/>
        </w:rPr>
        <w:t xml:space="preserve">For the sub-period before the EU </w:t>
      </w:r>
      <w:r w:rsidR="00A40468">
        <w:rPr>
          <w:rFonts w:ascii="Times New Roman" w:hAnsi="Times New Roman" w:cs="Times New Roman"/>
          <w:sz w:val="24"/>
          <w:szCs w:val="24"/>
          <w:lang w:val="en-PH"/>
        </w:rPr>
        <w:t xml:space="preserve">accession, it </w:t>
      </w:r>
      <w:r w:rsidR="007B20B6">
        <w:rPr>
          <w:rFonts w:ascii="Times New Roman" w:hAnsi="Times New Roman" w:cs="Times New Roman"/>
          <w:sz w:val="24"/>
          <w:szCs w:val="24"/>
          <w:lang w:val="en-PH"/>
        </w:rPr>
        <w:t xml:space="preserve">can be expected, based on experience of new EU member states, </w:t>
      </w:r>
      <w:r w:rsidR="00A40468">
        <w:rPr>
          <w:rFonts w:ascii="Times New Roman" w:hAnsi="Times New Roman" w:cs="Times New Roman"/>
          <w:sz w:val="24"/>
          <w:szCs w:val="24"/>
          <w:lang w:val="en-PH"/>
        </w:rPr>
        <w:t xml:space="preserve">that the </w:t>
      </w:r>
      <w:r w:rsidR="00320799">
        <w:rPr>
          <w:rFonts w:ascii="Times New Roman" w:hAnsi="Times New Roman" w:cs="Times New Roman"/>
          <w:sz w:val="24"/>
          <w:szCs w:val="24"/>
          <w:lang w:val="en-PH"/>
        </w:rPr>
        <w:t xml:space="preserve">country’s </w:t>
      </w:r>
      <w:r w:rsidR="00A40468">
        <w:rPr>
          <w:rFonts w:ascii="Times New Roman" w:hAnsi="Times New Roman" w:cs="Times New Roman"/>
          <w:sz w:val="24"/>
          <w:szCs w:val="24"/>
          <w:lang w:val="en-PH"/>
        </w:rPr>
        <w:t xml:space="preserve">development agenda will be </w:t>
      </w:r>
      <w:r w:rsidR="007A56B9" w:rsidRPr="00C33E26">
        <w:rPr>
          <w:rFonts w:ascii="Times New Roman" w:hAnsi="Times New Roman" w:cs="Times New Roman"/>
          <w:sz w:val="24"/>
          <w:szCs w:val="24"/>
          <w:lang w:val="en-PH"/>
        </w:rPr>
        <w:t>strongly</w:t>
      </w:r>
      <w:r w:rsidR="00A40468">
        <w:rPr>
          <w:rFonts w:ascii="Times New Roman" w:hAnsi="Times New Roman" w:cs="Times New Roman"/>
          <w:sz w:val="24"/>
          <w:szCs w:val="24"/>
          <w:lang w:val="en-PH"/>
        </w:rPr>
        <w:t xml:space="preserve"> </w:t>
      </w:r>
      <w:r w:rsidR="007B20B6">
        <w:rPr>
          <w:rFonts w:ascii="Times New Roman" w:hAnsi="Times New Roman" w:cs="Times New Roman"/>
          <w:sz w:val="24"/>
          <w:szCs w:val="24"/>
          <w:lang w:val="en-PH"/>
        </w:rPr>
        <w:t xml:space="preserve">guided </w:t>
      </w:r>
      <w:r w:rsidR="00A40468">
        <w:rPr>
          <w:rFonts w:ascii="Times New Roman" w:hAnsi="Times New Roman" w:cs="Times New Roman"/>
          <w:sz w:val="24"/>
          <w:szCs w:val="24"/>
          <w:lang w:val="en-PH"/>
        </w:rPr>
        <w:t>with the EU accession</w:t>
      </w:r>
      <w:r w:rsidR="007B20B6">
        <w:rPr>
          <w:rFonts w:ascii="Times New Roman" w:hAnsi="Times New Roman" w:cs="Times New Roman"/>
          <w:sz w:val="24"/>
          <w:szCs w:val="24"/>
          <w:lang w:val="en-PH"/>
        </w:rPr>
        <w:t>, and more specifically with the policies aimed at m</w:t>
      </w:r>
      <w:r w:rsidR="007A56B9" w:rsidRPr="00C33E26">
        <w:rPr>
          <w:rFonts w:ascii="Times New Roman" w:hAnsi="Times New Roman" w:cs="Times New Roman"/>
          <w:sz w:val="24"/>
          <w:szCs w:val="24"/>
          <w:lang w:val="en-PH"/>
        </w:rPr>
        <w:t xml:space="preserve">eeting </w:t>
      </w:r>
      <w:r w:rsidR="007B20B6">
        <w:rPr>
          <w:rFonts w:ascii="Times New Roman" w:hAnsi="Times New Roman" w:cs="Times New Roman"/>
          <w:sz w:val="24"/>
          <w:szCs w:val="24"/>
          <w:lang w:val="en-PH"/>
        </w:rPr>
        <w:t xml:space="preserve">the </w:t>
      </w:r>
      <w:r w:rsidR="007A56B9" w:rsidRPr="00C33E26">
        <w:rPr>
          <w:rFonts w:ascii="Times New Roman" w:hAnsi="Times New Roman" w:cs="Times New Roman"/>
          <w:sz w:val="24"/>
          <w:szCs w:val="24"/>
          <w:lang w:val="en-PH"/>
        </w:rPr>
        <w:t xml:space="preserve">Copenhagen </w:t>
      </w:r>
      <w:r w:rsidR="002F39CE">
        <w:rPr>
          <w:rFonts w:ascii="Times New Roman" w:hAnsi="Times New Roman" w:cs="Times New Roman"/>
          <w:sz w:val="24"/>
          <w:szCs w:val="24"/>
          <w:lang w:val="en-PH"/>
        </w:rPr>
        <w:t xml:space="preserve">accession </w:t>
      </w:r>
      <w:r w:rsidR="007A56B9" w:rsidRPr="00C33E26">
        <w:rPr>
          <w:rFonts w:ascii="Times New Roman" w:hAnsi="Times New Roman" w:cs="Times New Roman"/>
          <w:sz w:val="24"/>
          <w:szCs w:val="24"/>
          <w:lang w:val="en-PH"/>
        </w:rPr>
        <w:t>criteria</w:t>
      </w:r>
      <w:r w:rsidR="00A40468">
        <w:rPr>
          <w:rFonts w:ascii="Times New Roman" w:hAnsi="Times New Roman" w:cs="Times New Roman"/>
          <w:sz w:val="24"/>
          <w:szCs w:val="24"/>
          <w:lang w:val="en-PH"/>
        </w:rPr>
        <w:t xml:space="preserve">. </w:t>
      </w:r>
    </w:p>
    <w:p w:rsidR="000D1512" w:rsidRDefault="000D1512" w:rsidP="00950FB4">
      <w:pPr>
        <w:spacing w:line="240" w:lineRule="auto"/>
        <w:jc w:val="both"/>
        <w:rPr>
          <w:rFonts w:ascii="Times New Roman" w:hAnsi="Times New Roman" w:cs="Times New Roman"/>
          <w:sz w:val="24"/>
          <w:szCs w:val="24"/>
          <w:lang w:val="en-PH"/>
        </w:rPr>
      </w:pPr>
    </w:p>
    <w:p w:rsidR="00955E6D" w:rsidRDefault="00955E6D" w:rsidP="00955E6D">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1.4. Inputs for drafting the Report  </w:t>
      </w:r>
    </w:p>
    <w:p w:rsidR="00955E6D" w:rsidRDefault="00955E6D" w:rsidP="00955E6D">
      <w:pPr>
        <w:autoSpaceDE w:val="0"/>
        <w:autoSpaceDN w:val="0"/>
        <w:adjustRightInd w:val="0"/>
        <w:spacing w:after="0" w:line="240" w:lineRule="auto"/>
        <w:jc w:val="both"/>
        <w:rPr>
          <w:rFonts w:ascii="Times New Roman" w:hAnsi="Times New Roman" w:cs="Times New Roman"/>
          <w:b/>
          <w:sz w:val="24"/>
          <w:szCs w:val="24"/>
          <w:lang w:val="en-PH"/>
        </w:rPr>
      </w:pPr>
    </w:p>
    <w:p w:rsidR="00955E6D" w:rsidRPr="00955E6D" w:rsidRDefault="00955E6D" w:rsidP="00955E6D">
      <w:pPr>
        <w:autoSpaceDE w:val="0"/>
        <w:autoSpaceDN w:val="0"/>
        <w:adjustRightInd w:val="0"/>
        <w:spacing w:after="0" w:line="240" w:lineRule="auto"/>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The Report has been prepared as a desk </w:t>
      </w:r>
      <w:r w:rsidR="00CB5317">
        <w:rPr>
          <w:rFonts w:ascii="Times New Roman" w:hAnsi="Times New Roman" w:cs="Times New Roman"/>
          <w:sz w:val="24"/>
          <w:szCs w:val="24"/>
          <w:lang w:val="en-PH"/>
        </w:rPr>
        <w:t xml:space="preserve">report using the following sources of information and documentation: (i) </w:t>
      </w:r>
      <w:r w:rsidRPr="00955E6D">
        <w:rPr>
          <w:rFonts w:ascii="Times New Roman" w:hAnsi="Times New Roman" w:cs="Times New Roman"/>
          <w:sz w:val="24"/>
          <w:szCs w:val="24"/>
          <w:lang w:val="en-PH"/>
        </w:rPr>
        <w:t xml:space="preserve">methodological guidance for </w:t>
      </w:r>
      <w:r w:rsidR="00CB5317">
        <w:rPr>
          <w:rFonts w:ascii="Times New Roman" w:hAnsi="Times New Roman" w:cs="Times New Roman"/>
          <w:sz w:val="24"/>
          <w:szCs w:val="24"/>
          <w:lang w:val="en-PH"/>
        </w:rPr>
        <w:t>preparation of North Macedonia’s N</w:t>
      </w:r>
      <w:r w:rsidR="00E66BCC">
        <w:rPr>
          <w:rFonts w:ascii="Times New Roman" w:hAnsi="Times New Roman" w:cs="Times New Roman"/>
          <w:sz w:val="24"/>
          <w:szCs w:val="24"/>
          <w:lang w:val="en-PH"/>
        </w:rPr>
        <w:t xml:space="preserve">DS </w:t>
      </w:r>
      <w:r w:rsidRPr="00955E6D">
        <w:rPr>
          <w:rFonts w:ascii="Times New Roman" w:hAnsi="Times New Roman" w:cs="Times New Roman"/>
          <w:sz w:val="24"/>
          <w:szCs w:val="24"/>
          <w:lang w:val="en-PH"/>
        </w:rPr>
        <w:t xml:space="preserve">2021-2041 provided by the UNDP </w:t>
      </w:r>
      <w:r w:rsidR="00CB5317">
        <w:rPr>
          <w:rFonts w:ascii="Times New Roman" w:hAnsi="Times New Roman" w:cs="Times New Roman"/>
          <w:sz w:val="24"/>
          <w:szCs w:val="24"/>
          <w:lang w:val="en-PH"/>
        </w:rPr>
        <w:t xml:space="preserve">project </w:t>
      </w:r>
      <w:r w:rsidRPr="00955E6D">
        <w:rPr>
          <w:rFonts w:ascii="Times New Roman" w:hAnsi="Times New Roman" w:cs="Times New Roman"/>
          <w:sz w:val="24"/>
          <w:szCs w:val="24"/>
          <w:lang w:val="en-PH"/>
        </w:rPr>
        <w:t>team</w:t>
      </w:r>
      <w:r w:rsidR="00CB5317">
        <w:rPr>
          <w:rFonts w:ascii="Times New Roman" w:hAnsi="Times New Roman" w:cs="Times New Roman"/>
          <w:sz w:val="24"/>
          <w:szCs w:val="24"/>
          <w:lang w:val="en-PH"/>
        </w:rPr>
        <w:t xml:space="preserve">, (ii) </w:t>
      </w:r>
      <w:r w:rsidRPr="00955E6D">
        <w:rPr>
          <w:rFonts w:ascii="Times New Roman" w:hAnsi="Times New Roman" w:cs="Times New Roman"/>
          <w:sz w:val="24"/>
          <w:szCs w:val="24"/>
          <w:lang w:val="en-PH"/>
        </w:rPr>
        <w:t>the EU sustainable development priorities till 2030 with the focus on the E</w:t>
      </w:r>
      <w:r w:rsidR="00C87BCE">
        <w:rPr>
          <w:rFonts w:ascii="Times New Roman" w:hAnsi="Times New Roman" w:cs="Times New Roman"/>
          <w:sz w:val="24"/>
          <w:szCs w:val="24"/>
          <w:lang w:val="en-PH"/>
        </w:rPr>
        <w:t xml:space="preserve">GD </w:t>
      </w:r>
      <w:r w:rsidRPr="00955E6D">
        <w:rPr>
          <w:rFonts w:ascii="Times New Roman" w:hAnsi="Times New Roman" w:cs="Times New Roman"/>
          <w:sz w:val="24"/>
          <w:szCs w:val="24"/>
          <w:lang w:val="en-PH"/>
        </w:rPr>
        <w:t xml:space="preserve">and </w:t>
      </w:r>
      <w:r w:rsidR="00CB5317">
        <w:rPr>
          <w:rFonts w:ascii="Times New Roman" w:hAnsi="Times New Roman" w:cs="Times New Roman"/>
          <w:sz w:val="24"/>
          <w:szCs w:val="24"/>
          <w:lang w:val="en-PH"/>
        </w:rPr>
        <w:t>digitalization, (iii)</w:t>
      </w:r>
      <w:r w:rsidR="00E66BCC">
        <w:rPr>
          <w:rFonts w:ascii="Times New Roman" w:hAnsi="Times New Roman" w:cs="Times New Roman"/>
          <w:sz w:val="24"/>
          <w:szCs w:val="24"/>
          <w:lang w:val="en-PH"/>
        </w:rPr>
        <w:t xml:space="preserve"> the 2020 EU </w:t>
      </w:r>
      <w:r w:rsidR="00882233">
        <w:rPr>
          <w:rFonts w:ascii="Times New Roman" w:hAnsi="Times New Roman" w:cs="Times New Roman"/>
          <w:sz w:val="24"/>
          <w:szCs w:val="24"/>
          <w:lang w:val="en-PH"/>
        </w:rPr>
        <w:t>Enlargement M</w:t>
      </w:r>
      <w:r w:rsidR="00E66BCC">
        <w:rPr>
          <w:rFonts w:ascii="Times New Roman" w:hAnsi="Times New Roman" w:cs="Times New Roman"/>
          <w:sz w:val="24"/>
          <w:szCs w:val="24"/>
          <w:lang w:val="en-PH"/>
        </w:rPr>
        <w:t xml:space="preserve">ethodology for the </w:t>
      </w:r>
      <w:r w:rsidRPr="00955E6D">
        <w:rPr>
          <w:rFonts w:ascii="Times New Roman" w:hAnsi="Times New Roman" w:cs="Times New Roman"/>
          <w:sz w:val="24"/>
          <w:szCs w:val="24"/>
          <w:lang w:val="en-PH"/>
        </w:rPr>
        <w:t>accession negotiations</w:t>
      </w:r>
      <w:r w:rsidR="00CB5317">
        <w:rPr>
          <w:rFonts w:ascii="Times New Roman" w:hAnsi="Times New Roman" w:cs="Times New Roman"/>
          <w:sz w:val="24"/>
          <w:szCs w:val="24"/>
          <w:lang w:val="en-PH"/>
        </w:rPr>
        <w:t xml:space="preserve"> </w:t>
      </w:r>
      <w:r w:rsidR="00E66BCC">
        <w:rPr>
          <w:rFonts w:ascii="Times New Roman" w:hAnsi="Times New Roman" w:cs="Times New Roman"/>
          <w:sz w:val="24"/>
          <w:szCs w:val="24"/>
          <w:lang w:val="en-PH"/>
        </w:rPr>
        <w:t xml:space="preserve">that provides an institutional framework for the forthcoming EU accession negotiations of North Macedonia, and </w:t>
      </w:r>
      <w:r w:rsidR="00CB5317">
        <w:rPr>
          <w:rFonts w:ascii="Times New Roman" w:hAnsi="Times New Roman" w:cs="Times New Roman"/>
          <w:sz w:val="24"/>
          <w:szCs w:val="24"/>
          <w:lang w:val="en-PH"/>
        </w:rPr>
        <w:t xml:space="preserve">(iv) </w:t>
      </w:r>
      <w:r w:rsidRPr="00955E6D">
        <w:rPr>
          <w:rFonts w:ascii="Times New Roman" w:hAnsi="Times New Roman" w:cs="Times New Roman"/>
          <w:sz w:val="24"/>
          <w:szCs w:val="24"/>
          <w:lang w:val="en-PH"/>
        </w:rPr>
        <w:t>North Macedonia’s strategic documents including E</w:t>
      </w:r>
      <w:r w:rsidR="00D97AF3">
        <w:rPr>
          <w:rFonts w:ascii="Times New Roman" w:hAnsi="Times New Roman" w:cs="Times New Roman"/>
          <w:sz w:val="24"/>
          <w:szCs w:val="24"/>
          <w:lang w:val="en-PH"/>
        </w:rPr>
        <w:t xml:space="preserve">conomic Reform Program </w:t>
      </w:r>
      <w:r w:rsidRPr="00955E6D">
        <w:rPr>
          <w:rFonts w:ascii="Times New Roman" w:hAnsi="Times New Roman" w:cs="Times New Roman"/>
          <w:sz w:val="24"/>
          <w:szCs w:val="24"/>
          <w:lang w:val="en-PH"/>
        </w:rPr>
        <w:t xml:space="preserve">as the country’s main input for the </w:t>
      </w:r>
      <w:r w:rsidR="00D97AF3">
        <w:rPr>
          <w:rFonts w:ascii="Times New Roman" w:hAnsi="Times New Roman" w:cs="Times New Roman"/>
          <w:sz w:val="24"/>
          <w:szCs w:val="24"/>
          <w:lang w:val="en-PH"/>
        </w:rPr>
        <w:t>socio-</w:t>
      </w:r>
      <w:r w:rsidRPr="00955E6D">
        <w:rPr>
          <w:rFonts w:ascii="Times New Roman" w:hAnsi="Times New Roman" w:cs="Times New Roman"/>
          <w:sz w:val="24"/>
          <w:szCs w:val="24"/>
          <w:lang w:val="en-PH"/>
        </w:rPr>
        <w:t>economic dialogue with the EU</w:t>
      </w:r>
      <w:r w:rsidR="00CB5317">
        <w:rPr>
          <w:rFonts w:ascii="Times New Roman" w:hAnsi="Times New Roman" w:cs="Times New Roman"/>
          <w:sz w:val="24"/>
          <w:szCs w:val="24"/>
          <w:lang w:val="en-PH"/>
        </w:rPr>
        <w:t xml:space="preserve">. </w:t>
      </w:r>
      <w:r w:rsidRPr="00955E6D">
        <w:rPr>
          <w:rFonts w:ascii="Times New Roman" w:hAnsi="Times New Roman" w:cs="Times New Roman"/>
          <w:sz w:val="24"/>
          <w:szCs w:val="24"/>
          <w:lang w:val="en-PH"/>
        </w:rPr>
        <w:t xml:space="preserve">     </w:t>
      </w:r>
    </w:p>
    <w:p w:rsidR="00955E6D" w:rsidRDefault="00955E6D" w:rsidP="00950FB4">
      <w:pPr>
        <w:spacing w:line="240" w:lineRule="auto"/>
        <w:jc w:val="both"/>
        <w:rPr>
          <w:rFonts w:ascii="Times New Roman" w:hAnsi="Times New Roman" w:cs="Times New Roman"/>
          <w:sz w:val="24"/>
          <w:szCs w:val="24"/>
          <w:lang w:val="en-PH"/>
        </w:rPr>
      </w:pPr>
    </w:p>
    <w:p w:rsidR="00955E6D" w:rsidRDefault="00955E6D" w:rsidP="00955E6D">
      <w:pPr>
        <w:autoSpaceDE w:val="0"/>
        <w:autoSpaceDN w:val="0"/>
        <w:adjustRightInd w:val="0"/>
        <w:spacing w:after="0" w:line="240" w:lineRule="auto"/>
        <w:jc w:val="both"/>
        <w:rPr>
          <w:rFonts w:ascii="Times New Roman" w:hAnsi="Times New Roman" w:cs="Times New Roman"/>
          <w:b/>
          <w:sz w:val="24"/>
          <w:szCs w:val="24"/>
          <w:lang w:val="en-PH"/>
        </w:rPr>
      </w:pPr>
      <w:r>
        <w:rPr>
          <w:rFonts w:ascii="Times New Roman" w:hAnsi="Times New Roman" w:cs="Times New Roman"/>
          <w:b/>
          <w:sz w:val="24"/>
          <w:szCs w:val="24"/>
          <w:lang w:val="en-PH"/>
        </w:rPr>
        <w:t xml:space="preserve">1.5. Structure of the Report </w:t>
      </w:r>
    </w:p>
    <w:p w:rsidR="00955E6D" w:rsidRDefault="00955E6D" w:rsidP="00955E6D">
      <w:pPr>
        <w:autoSpaceDE w:val="0"/>
        <w:autoSpaceDN w:val="0"/>
        <w:adjustRightInd w:val="0"/>
        <w:spacing w:after="0" w:line="240" w:lineRule="auto"/>
        <w:jc w:val="both"/>
        <w:rPr>
          <w:rFonts w:ascii="Times New Roman" w:hAnsi="Times New Roman" w:cs="Times New Roman"/>
          <w:b/>
          <w:sz w:val="24"/>
          <w:szCs w:val="24"/>
          <w:lang w:val="en-PH"/>
        </w:rPr>
      </w:pPr>
    </w:p>
    <w:p w:rsidR="00DD0E5D" w:rsidRDefault="00955E6D" w:rsidP="00DD0E5D">
      <w:pPr>
        <w:autoSpaceDE w:val="0"/>
        <w:autoSpaceDN w:val="0"/>
        <w:adjustRightInd w:val="0"/>
        <w:spacing w:after="0" w:line="240" w:lineRule="atLeast"/>
        <w:jc w:val="both"/>
        <w:rPr>
          <w:rFonts w:ascii="Times New Roman" w:hAnsi="Times New Roman" w:cs="Times New Roman"/>
          <w:sz w:val="24"/>
          <w:szCs w:val="24"/>
          <w:lang w:val="en-PH"/>
        </w:rPr>
      </w:pPr>
      <w:r w:rsidRPr="00955E6D">
        <w:rPr>
          <w:rFonts w:ascii="Times New Roman" w:hAnsi="Times New Roman" w:cs="Times New Roman"/>
          <w:sz w:val="24"/>
          <w:szCs w:val="24"/>
          <w:lang w:val="en-PH"/>
        </w:rPr>
        <w:t xml:space="preserve">In addition to this </w:t>
      </w:r>
      <w:r w:rsidRPr="00CB5317">
        <w:rPr>
          <w:rFonts w:ascii="Times New Roman" w:hAnsi="Times New Roman" w:cs="Times New Roman"/>
          <w:i/>
          <w:sz w:val="24"/>
          <w:szCs w:val="24"/>
          <w:lang w:val="en-PH"/>
        </w:rPr>
        <w:t>Introduction</w:t>
      </w:r>
      <w:r w:rsidR="00D97AF3">
        <w:rPr>
          <w:rFonts w:ascii="Times New Roman" w:hAnsi="Times New Roman" w:cs="Times New Roman"/>
          <w:i/>
          <w:sz w:val="24"/>
          <w:szCs w:val="24"/>
          <w:lang w:val="en-PH"/>
        </w:rPr>
        <w:t xml:space="preserve"> </w:t>
      </w:r>
      <w:r w:rsidR="00D97AF3" w:rsidRPr="00D97AF3">
        <w:rPr>
          <w:rFonts w:ascii="Times New Roman" w:hAnsi="Times New Roman" w:cs="Times New Roman"/>
          <w:sz w:val="24"/>
          <w:szCs w:val="24"/>
          <w:lang w:val="en-PH"/>
        </w:rPr>
        <w:t>and</w:t>
      </w:r>
      <w:r w:rsidR="00D97AF3">
        <w:rPr>
          <w:rFonts w:ascii="Times New Roman" w:hAnsi="Times New Roman" w:cs="Times New Roman"/>
          <w:i/>
          <w:sz w:val="24"/>
          <w:szCs w:val="24"/>
          <w:lang w:val="en-PH"/>
        </w:rPr>
        <w:t xml:space="preserve"> Conclusions and recommendations </w:t>
      </w:r>
      <w:r w:rsidR="00D97AF3" w:rsidRPr="00D97AF3">
        <w:rPr>
          <w:rFonts w:ascii="Times New Roman" w:hAnsi="Times New Roman" w:cs="Times New Roman"/>
          <w:sz w:val="24"/>
          <w:szCs w:val="24"/>
          <w:lang w:val="en-PH"/>
        </w:rPr>
        <w:t>at the end of the</w:t>
      </w:r>
      <w:r w:rsidR="00D97AF3">
        <w:rPr>
          <w:rFonts w:ascii="Times New Roman" w:hAnsi="Times New Roman" w:cs="Times New Roman"/>
          <w:sz w:val="24"/>
          <w:szCs w:val="24"/>
          <w:lang w:val="en-PH"/>
        </w:rPr>
        <w:t xml:space="preserve"> text, </w:t>
      </w:r>
      <w:r w:rsidRPr="00955E6D">
        <w:rPr>
          <w:rFonts w:ascii="Times New Roman" w:hAnsi="Times New Roman" w:cs="Times New Roman"/>
          <w:sz w:val="24"/>
          <w:szCs w:val="24"/>
          <w:lang w:val="en-PH"/>
        </w:rPr>
        <w:t xml:space="preserve">the Report consists of </w:t>
      </w:r>
      <w:r w:rsidR="00D97AF3">
        <w:rPr>
          <w:rFonts w:ascii="Times New Roman" w:hAnsi="Times New Roman" w:cs="Times New Roman"/>
          <w:sz w:val="24"/>
          <w:szCs w:val="24"/>
          <w:lang w:val="en-PH"/>
        </w:rPr>
        <w:t xml:space="preserve">three </w:t>
      </w:r>
      <w:r w:rsidRPr="00955E6D">
        <w:rPr>
          <w:rFonts w:ascii="Times New Roman" w:hAnsi="Times New Roman" w:cs="Times New Roman"/>
          <w:sz w:val="24"/>
          <w:szCs w:val="24"/>
          <w:lang w:val="en-PH"/>
        </w:rPr>
        <w:t>main chapters.</w:t>
      </w:r>
      <w:r w:rsidR="00CB5317">
        <w:rPr>
          <w:rFonts w:ascii="Times New Roman" w:hAnsi="Times New Roman" w:cs="Times New Roman"/>
          <w:sz w:val="24"/>
          <w:szCs w:val="24"/>
          <w:lang w:val="en-PH"/>
        </w:rPr>
        <w:t xml:space="preserve"> The </w:t>
      </w:r>
      <w:r w:rsidR="00CB5317" w:rsidRPr="00D97AF3">
        <w:rPr>
          <w:rFonts w:ascii="Times New Roman" w:hAnsi="Times New Roman" w:cs="Times New Roman"/>
          <w:i/>
          <w:sz w:val="24"/>
          <w:szCs w:val="24"/>
          <w:lang w:val="en-PH"/>
        </w:rPr>
        <w:t>second chapter</w:t>
      </w:r>
      <w:r w:rsidR="001C15F8">
        <w:rPr>
          <w:rFonts w:ascii="Times New Roman" w:hAnsi="Times New Roman" w:cs="Times New Roman"/>
          <w:sz w:val="24"/>
          <w:szCs w:val="24"/>
          <w:lang w:val="en-PH"/>
        </w:rPr>
        <w:t xml:space="preserve"> presents the new development </w:t>
      </w:r>
      <w:r w:rsidR="00C87BCE">
        <w:rPr>
          <w:rFonts w:ascii="Times New Roman" w:hAnsi="Times New Roman" w:cs="Times New Roman"/>
          <w:sz w:val="24"/>
          <w:szCs w:val="24"/>
          <w:lang w:val="en-PH"/>
        </w:rPr>
        <w:t>strategy</w:t>
      </w:r>
      <w:r w:rsidR="001C15F8">
        <w:rPr>
          <w:rFonts w:ascii="Times New Roman" w:hAnsi="Times New Roman" w:cs="Times New Roman"/>
          <w:sz w:val="24"/>
          <w:szCs w:val="24"/>
          <w:lang w:val="en-PH"/>
        </w:rPr>
        <w:t xml:space="preserve"> of the EU focused on climate neutrality and digital modernization and discusses how this </w:t>
      </w:r>
      <w:r w:rsidR="00C87BCE">
        <w:rPr>
          <w:rFonts w:ascii="Times New Roman" w:hAnsi="Times New Roman" w:cs="Times New Roman"/>
          <w:sz w:val="24"/>
          <w:szCs w:val="24"/>
          <w:lang w:val="en-PH"/>
        </w:rPr>
        <w:t>strategy</w:t>
      </w:r>
      <w:r w:rsidR="001C15F8">
        <w:rPr>
          <w:rFonts w:ascii="Times New Roman" w:hAnsi="Times New Roman" w:cs="Times New Roman"/>
          <w:sz w:val="24"/>
          <w:szCs w:val="24"/>
          <w:lang w:val="en-PH"/>
        </w:rPr>
        <w:t xml:space="preserve"> is </w:t>
      </w:r>
      <w:r w:rsidR="00D97AF3">
        <w:rPr>
          <w:rFonts w:ascii="Times New Roman" w:hAnsi="Times New Roman" w:cs="Times New Roman"/>
          <w:sz w:val="24"/>
          <w:szCs w:val="24"/>
          <w:lang w:val="en-PH"/>
        </w:rPr>
        <w:t xml:space="preserve">and will influence socio-economic development of the EU candidate countries, especially those ones </w:t>
      </w:r>
      <w:r w:rsidR="00C54F81">
        <w:rPr>
          <w:rFonts w:ascii="Times New Roman" w:hAnsi="Times New Roman" w:cs="Times New Roman"/>
          <w:sz w:val="24"/>
          <w:szCs w:val="24"/>
          <w:lang w:val="en-PH"/>
        </w:rPr>
        <w:t xml:space="preserve">that are </w:t>
      </w:r>
      <w:r w:rsidR="00D97AF3">
        <w:rPr>
          <w:rFonts w:ascii="Times New Roman" w:hAnsi="Times New Roman" w:cs="Times New Roman"/>
          <w:sz w:val="24"/>
          <w:szCs w:val="24"/>
          <w:lang w:val="en-PH"/>
        </w:rPr>
        <w:t xml:space="preserve">in the process of the EU accession negotiations. </w:t>
      </w:r>
      <w:r w:rsidR="00C54F81">
        <w:rPr>
          <w:rFonts w:ascii="Times New Roman" w:hAnsi="Times New Roman" w:cs="Times New Roman"/>
          <w:sz w:val="24"/>
          <w:szCs w:val="24"/>
          <w:lang w:val="en-PH"/>
        </w:rPr>
        <w:t xml:space="preserve">The </w:t>
      </w:r>
      <w:r w:rsidR="00D97AF3" w:rsidRPr="00D97AF3">
        <w:rPr>
          <w:rFonts w:ascii="Times New Roman" w:hAnsi="Times New Roman" w:cs="Times New Roman"/>
          <w:i/>
          <w:sz w:val="24"/>
          <w:szCs w:val="24"/>
          <w:lang w:val="en-PH"/>
        </w:rPr>
        <w:t>third chapter</w:t>
      </w:r>
      <w:r w:rsidR="00D97AF3">
        <w:rPr>
          <w:rFonts w:ascii="Times New Roman" w:hAnsi="Times New Roman" w:cs="Times New Roman"/>
          <w:sz w:val="24"/>
          <w:szCs w:val="24"/>
          <w:lang w:val="en-PH"/>
        </w:rPr>
        <w:t xml:space="preserve"> </w:t>
      </w:r>
      <w:r w:rsidR="00C54F81">
        <w:rPr>
          <w:rFonts w:ascii="Times New Roman" w:hAnsi="Times New Roman" w:cs="Times New Roman"/>
          <w:sz w:val="24"/>
          <w:szCs w:val="24"/>
          <w:lang w:val="en-PH"/>
        </w:rPr>
        <w:t xml:space="preserve">focuses on </w:t>
      </w:r>
      <w:r w:rsidR="00CF765E">
        <w:rPr>
          <w:rFonts w:ascii="Times New Roman" w:hAnsi="Times New Roman" w:cs="Times New Roman"/>
          <w:sz w:val="24"/>
          <w:szCs w:val="24"/>
          <w:lang w:val="en-PH"/>
        </w:rPr>
        <w:t xml:space="preserve">the </w:t>
      </w:r>
      <w:r w:rsidR="00C54F81">
        <w:rPr>
          <w:rFonts w:ascii="Times New Roman" w:hAnsi="Times New Roman" w:cs="Times New Roman"/>
          <w:sz w:val="24"/>
          <w:szCs w:val="24"/>
          <w:lang w:val="en-PH"/>
        </w:rPr>
        <w:t xml:space="preserve">Copenhagen criteria as formal benchmarks for an EU candidate country to become an EU member, and discusses how meeting of these criteria will be measured and monitored in the forthcoming EU accession negotiations. </w:t>
      </w:r>
      <w:r w:rsidR="00CF765E">
        <w:rPr>
          <w:rFonts w:ascii="Times New Roman" w:hAnsi="Times New Roman" w:cs="Times New Roman"/>
          <w:sz w:val="24"/>
          <w:szCs w:val="24"/>
          <w:lang w:val="en-PH"/>
        </w:rPr>
        <w:t>In contrast to the previous two chapter</w:t>
      </w:r>
      <w:r w:rsidR="0064323C">
        <w:rPr>
          <w:rFonts w:ascii="Times New Roman" w:hAnsi="Times New Roman" w:cs="Times New Roman"/>
          <w:sz w:val="24"/>
          <w:szCs w:val="24"/>
          <w:lang w:val="en-PH"/>
        </w:rPr>
        <w:t>s</w:t>
      </w:r>
      <w:r w:rsidR="00CF765E">
        <w:rPr>
          <w:rFonts w:ascii="Times New Roman" w:hAnsi="Times New Roman" w:cs="Times New Roman"/>
          <w:sz w:val="24"/>
          <w:szCs w:val="24"/>
          <w:lang w:val="en-PH"/>
        </w:rPr>
        <w:t xml:space="preserve"> that present </w:t>
      </w:r>
      <w:r w:rsidR="00A27BC4">
        <w:rPr>
          <w:rFonts w:ascii="Times New Roman" w:hAnsi="Times New Roman" w:cs="Times New Roman"/>
          <w:sz w:val="24"/>
          <w:szCs w:val="24"/>
          <w:lang w:val="en-PH"/>
        </w:rPr>
        <w:t xml:space="preserve">and discuss </w:t>
      </w:r>
      <w:r w:rsidR="00CF765E">
        <w:rPr>
          <w:rFonts w:ascii="Times New Roman" w:hAnsi="Times New Roman" w:cs="Times New Roman"/>
          <w:sz w:val="24"/>
          <w:szCs w:val="24"/>
          <w:lang w:val="en-PH"/>
        </w:rPr>
        <w:t xml:space="preserve">socio-economic aspects of a candidate country’s accession to the EU, </w:t>
      </w:r>
      <w:r w:rsidR="00DD0E5D">
        <w:rPr>
          <w:rFonts w:ascii="Times New Roman" w:hAnsi="Times New Roman" w:cs="Times New Roman"/>
          <w:sz w:val="24"/>
          <w:szCs w:val="24"/>
          <w:lang w:val="en-PH"/>
        </w:rPr>
        <w:t xml:space="preserve">the </w:t>
      </w:r>
      <w:r w:rsidR="00DD0E5D" w:rsidRPr="00C54F81">
        <w:rPr>
          <w:rFonts w:ascii="Times New Roman" w:hAnsi="Times New Roman" w:cs="Times New Roman"/>
          <w:i/>
          <w:sz w:val="24"/>
          <w:szCs w:val="24"/>
          <w:lang w:val="en-PH"/>
        </w:rPr>
        <w:t>fourth chapter</w:t>
      </w:r>
      <w:r w:rsidR="00DD0E5D">
        <w:rPr>
          <w:rFonts w:ascii="Times New Roman" w:hAnsi="Times New Roman" w:cs="Times New Roman"/>
          <w:sz w:val="24"/>
          <w:szCs w:val="24"/>
          <w:lang w:val="en-PH"/>
        </w:rPr>
        <w:t xml:space="preserve"> is aimed at identifying how the substance of the Copenhagen economic criteria and the process of meeting </w:t>
      </w:r>
      <w:r w:rsidR="0080236D">
        <w:rPr>
          <w:rFonts w:ascii="Times New Roman" w:hAnsi="Times New Roman" w:cs="Times New Roman"/>
          <w:sz w:val="24"/>
          <w:szCs w:val="24"/>
          <w:lang w:val="en-PH"/>
        </w:rPr>
        <w:t xml:space="preserve">it can </w:t>
      </w:r>
      <w:r w:rsidR="00DD0E5D">
        <w:rPr>
          <w:rFonts w:ascii="Times New Roman" w:hAnsi="Times New Roman" w:cs="Times New Roman"/>
          <w:sz w:val="24"/>
          <w:szCs w:val="24"/>
          <w:lang w:val="en-PH"/>
        </w:rPr>
        <w:t xml:space="preserve">be integrated into the NDS 2021-2041. </w:t>
      </w:r>
    </w:p>
    <w:p w:rsidR="00CF765E" w:rsidRDefault="00CF765E" w:rsidP="00CF765E">
      <w:pPr>
        <w:pStyle w:val="NoSpacing"/>
        <w:rPr>
          <w:rFonts w:ascii="Times New Roman" w:hAnsi="Times New Roman" w:cs="Times New Roman"/>
          <w:sz w:val="24"/>
          <w:szCs w:val="24"/>
          <w:lang w:val="en-PH"/>
        </w:rPr>
      </w:pPr>
    </w:p>
    <w:p w:rsidR="0064323C" w:rsidRDefault="0064323C" w:rsidP="00CB5317">
      <w:pPr>
        <w:pStyle w:val="NoSpacing"/>
        <w:rPr>
          <w:rFonts w:ascii="Times New Roman" w:hAnsi="Times New Roman" w:cs="Times New Roman"/>
          <w:b/>
          <w:sz w:val="28"/>
          <w:szCs w:val="28"/>
          <w:lang w:val="en-PH"/>
        </w:rPr>
      </w:pPr>
    </w:p>
    <w:p w:rsidR="00DC0364" w:rsidRDefault="00CB5317" w:rsidP="00CB5317">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I</w:t>
      </w:r>
      <w:r w:rsidRPr="00CB5317">
        <w:rPr>
          <w:rFonts w:ascii="Times New Roman" w:hAnsi="Times New Roman" w:cs="Times New Roman"/>
          <w:b/>
          <w:sz w:val="28"/>
          <w:szCs w:val="28"/>
          <w:lang w:val="en-PH"/>
        </w:rPr>
        <w:t xml:space="preserve">I. </w:t>
      </w:r>
      <w:r w:rsidR="00C87BCE">
        <w:rPr>
          <w:rFonts w:ascii="Times New Roman" w:hAnsi="Times New Roman" w:cs="Times New Roman"/>
          <w:b/>
          <w:sz w:val="28"/>
          <w:szCs w:val="28"/>
          <w:lang w:val="en-PH"/>
        </w:rPr>
        <w:t xml:space="preserve">New </w:t>
      </w:r>
      <w:r w:rsidRPr="00CB5317">
        <w:rPr>
          <w:rFonts w:ascii="Times New Roman" w:hAnsi="Times New Roman" w:cs="Times New Roman"/>
          <w:b/>
          <w:sz w:val="28"/>
          <w:szCs w:val="28"/>
          <w:lang w:val="en-PH"/>
        </w:rPr>
        <w:t xml:space="preserve">development </w:t>
      </w:r>
      <w:r w:rsidR="00C87BCE">
        <w:rPr>
          <w:rFonts w:ascii="Times New Roman" w:hAnsi="Times New Roman" w:cs="Times New Roman"/>
          <w:b/>
          <w:sz w:val="28"/>
          <w:szCs w:val="28"/>
          <w:lang w:val="en-PH"/>
        </w:rPr>
        <w:t>strategy</w:t>
      </w:r>
      <w:r w:rsidRPr="00CB5317">
        <w:rPr>
          <w:rFonts w:ascii="Times New Roman" w:hAnsi="Times New Roman" w:cs="Times New Roman"/>
          <w:b/>
          <w:sz w:val="28"/>
          <w:szCs w:val="28"/>
          <w:lang w:val="en-PH"/>
        </w:rPr>
        <w:t xml:space="preserve"> of the EU and </w:t>
      </w:r>
      <w:r w:rsidR="00846F87">
        <w:rPr>
          <w:rFonts w:ascii="Times New Roman" w:hAnsi="Times New Roman" w:cs="Times New Roman"/>
          <w:b/>
          <w:sz w:val="28"/>
          <w:szCs w:val="28"/>
          <w:lang w:val="en-PH"/>
        </w:rPr>
        <w:t xml:space="preserve">its </w:t>
      </w:r>
      <w:r w:rsidR="00DC0364">
        <w:rPr>
          <w:rFonts w:ascii="Times New Roman" w:hAnsi="Times New Roman" w:cs="Times New Roman"/>
          <w:b/>
          <w:sz w:val="28"/>
          <w:szCs w:val="28"/>
          <w:lang w:val="en-PH"/>
        </w:rPr>
        <w:t>influence on socio-</w:t>
      </w:r>
    </w:p>
    <w:p w:rsidR="00CB5317" w:rsidRPr="00CB5317" w:rsidRDefault="00DC0364" w:rsidP="00CB5317">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 xml:space="preserve">     economic development of </w:t>
      </w:r>
      <w:r w:rsidR="00CB5317" w:rsidRPr="00CB5317">
        <w:rPr>
          <w:rFonts w:ascii="Times New Roman" w:hAnsi="Times New Roman" w:cs="Times New Roman"/>
          <w:b/>
          <w:sz w:val="28"/>
          <w:szCs w:val="28"/>
          <w:lang w:val="en-PH"/>
        </w:rPr>
        <w:t xml:space="preserve">the EU candidate countries  </w:t>
      </w:r>
    </w:p>
    <w:p w:rsidR="00CB5317" w:rsidRDefault="00CB5317" w:rsidP="00CB5317">
      <w:pPr>
        <w:autoSpaceDE w:val="0"/>
        <w:autoSpaceDN w:val="0"/>
        <w:adjustRightInd w:val="0"/>
        <w:spacing w:after="0" w:line="240" w:lineRule="auto"/>
        <w:jc w:val="both"/>
        <w:rPr>
          <w:rFonts w:ascii="Times New Roman" w:hAnsi="Times New Roman" w:cs="Times New Roman"/>
          <w:b/>
          <w:sz w:val="24"/>
          <w:szCs w:val="24"/>
          <w:lang w:val="en-PH"/>
        </w:rPr>
      </w:pPr>
    </w:p>
    <w:p w:rsidR="00034E2A" w:rsidRDefault="00490119" w:rsidP="009775D1">
      <w:pPr>
        <w:pStyle w:val="NoSpacing"/>
        <w:rPr>
          <w:rFonts w:ascii="Times New Roman" w:hAnsi="Times New Roman" w:cs="Times New Roman"/>
          <w:b/>
          <w:sz w:val="24"/>
          <w:szCs w:val="24"/>
          <w:lang w:val="en-PH"/>
        </w:rPr>
      </w:pPr>
      <w:r w:rsidRPr="009775D1">
        <w:rPr>
          <w:rFonts w:ascii="Times New Roman" w:hAnsi="Times New Roman" w:cs="Times New Roman"/>
          <w:b/>
          <w:sz w:val="24"/>
          <w:szCs w:val="24"/>
          <w:lang w:val="en-PH"/>
        </w:rPr>
        <w:t>2</w:t>
      </w:r>
      <w:r w:rsidR="00CB5317" w:rsidRPr="009775D1">
        <w:rPr>
          <w:rFonts w:ascii="Times New Roman" w:hAnsi="Times New Roman" w:cs="Times New Roman"/>
          <w:b/>
          <w:sz w:val="24"/>
          <w:szCs w:val="24"/>
          <w:lang w:val="en-PH"/>
        </w:rPr>
        <w:t>.</w:t>
      </w:r>
      <w:r w:rsidRPr="009775D1">
        <w:rPr>
          <w:rFonts w:ascii="Times New Roman" w:hAnsi="Times New Roman" w:cs="Times New Roman"/>
          <w:b/>
          <w:sz w:val="24"/>
          <w:szCs w:val="24"/>
          <w:lang w:val="en-PH"/>
        </w:rPr>
        <w:t>1</w:t>
      </w:r>
      <w:r w:rsidR="00CB5317" w:rsidRPr="009775D1">
        <w:rPr>
          <w:rFonts w:ascii="Times New Roman" w:hAnsi="Times New Roman" w:cs="Times New Roman"/>
          <w:b/>
          <w:sz w:val="24"/>
          <w:szCs w:val="24"/>
          <w:lang w:val="en-PH"/>
        </w:rPr>
        <w:t>.</w:t>
      </w:r>
      <w:r w:rsidRPr="009775D1">
        <w:rPr>
          <w:rFonts w:ascii="Times New Roman" w:hAnsi="Times New Roman" w:cs="Times New Roman"/>
          <w:b/>
          <w:sz w:val="24"/>
          <w:szCs w:val="24"/>
          <w:lang w:val="en-PH"/>
        </w:rPr>
        <w:t xml:space="preserve"> </w:t>
      </w:r>
      <w:r w:rsidR="00107AD9" w:rsidRPr="009775D1">
        <w:rPr>
          <w:rFonts w:ascii="Times New Roman" w:hAnsi="Times New Roman" w:cs="Times New Roman"/>
          <w:b/>
          <w:sz w:val="24"/>
          <w:szCs w:val="24"/>
          <w:lang w:val="en-PH"/>
        </w:rPr>
        <w:t>N</w:t>
      </w:r>
      <w:r w:rsidRPr="009775D1">
        <w:rPr>
          <w:rFonts w:ascii="Times New Roman" w:hAnsi="Times New Roman" w:cs="Times New Roman"/>
          <w:b/>
          <w:sz w:val="24"/>
          <w:szCs w:val="24"/>
          <w:lang w:val="en-PH"/>
        </w:rPr>
        <w:t xml:space="preserve">ew development </w:t>
      </w:r>
      <w:r w:rsidR="00C87BCE">
        <w:rPr>
          <w:rFonts w:ascii="Times New Roman" w:hAnsi="Times New Roman" w:cs="Times New Roman"/>
          <w:b/>
          <w:sz w:val="24"/>
          <w:szCs w:val="24"/>
          <w:lang w:val="en-PH"/>
        </w:rPr>
        <w:t>strategy</w:t>
      </w:r>
      <w:r w:rsidRPr="009775D1">
        <w:rPr>
          <w:rFonts w:ascii="Times New Roman" w:hAnsi="Times New Roman" w:cs="Times New Roman"/>
          <w:b/>
          <w:sz w:val="24"/>
          <w:szCs w:val="24"/>
          <w:lang w:val="en-PH"/>
        </w:rPr>
        <w:t xml:space="preserve"> of the EU</w:t>
      </w:r>
      <w:r w:rsidR="009775D1" w:rsidRPr="009775D1">
        <w:rPr>
          <w:rFonts w:ascii="Times New Roman" w:hAnsi="Times New Roman" w:cs="Times New Roman"/>
          <w:b/>
          <w:sz w:val="24"/>
          <w:szCs w:val="24"/>
          <w:lang w:val="en-PH"/>
        </w:rPr>
        <w:t xml:space="preserve"> with the focus on </w:t>
      </w:r>
      <w:r w:rsidR="00034E2A">
        <w:rPr>
          <w:rFonts w:ascii="Times New Roman" w:hAnsi="Times New Roman" w:cs="Times New Roman"/>
          <w:b/>
          <w:sz w:val="24"/>
          <w:szCs w:val="24"/>
          <w:lang w:val="en-PH"/>
        </w:rPr>
        <w:t>climate neutrality and</w:t>
      </w:r>
    </w:p>
    <w:p w:rsidR="00CB5317" w:rsidRPr="009775D1" w:rsidRDefault="00034E2A" w:rsidP="009775D1">
      <w:pPr>
        <w:pStyle w:val="NoSpacing"/>
        <w:rPr>
          <w:rFonts w:ascii="Times New Roman" w:hAnsi="Times New Roman" w:cs="Times New Roman"/>
          <w:b/>
          <w:sz w:val="24"/>
          <w:szCs w:val="24"/>
          <w:lang w:val="en-PH"/>
        </w:rPr>
      </w:pPr>
      <w:r>
        <w:rPr>
          <w:rFonts w:ascii="Times New Roman" w:hAnsi="Times New Roman" w:cs="Times New Roman"/>
          <w:b/>
          <w:sz w:val="24"/>
          <w:szCs w:val="24"/>
          <w:lang w:val="en-PH"/>
        </w:rPr>
        <w:t xml:space="preserve">      digital modernisation</w:t>
      </w:r>
      <w:r w:rsidR="00CB5317" w:rsidRPr="009775D1">
        <w:rPr>
          <w:rFonts w:ascii="Times New Roman" w:hAnsi="Times New Roman" w:cs="Times New Roman"/>
          <w:b/>
          <w:sz w:val="24"/>
          <w:szCs w:val="24"/>
          <w:lang w:val="en-PH"/>
        </w:rPr>
        <w:t xml:space="preserve">  </w:t>
      </w:r>
    </w:p>
    <w:p w:rsidR="00293B7D" w:rsidRDefault="00293B7D" w:rsidP="00955E6D">
      <w:pPr>
        <w:autoSpaceDE w:val="0"/>
        <w:autoSpaceDN w:val="0"/>
        <w:adjustRightInd w:val="0"/>
        <w:spacing w:after="0" w:line="240" w:lineRule="auto"/>
        <w:jc w:val="both"/>
        <w:rPr>
          <w:rFonts w:ascii="Arial" w:hAnsi="Arial" w:cs="Arial"/>
          <w:color w:val="2A2A2A"/>
          <w:shd w:val="clear" w:color="auto" w:fill="FFFFFF"/>
          <w:lang w:val="en-PH"/>
        </w:rPr>
      </w:pPr>
    </w:p>
    <w:p w:rsidR="003A199B" w:rsidRDefault="00293B7D" w:rsidP="00DC0364">
      <w:pPr>
        <w:autoSpaceDE w:val="0"/>
        <w:autoSpaceDN w:val="0"/>
        <w:adjustRightInd w:val="0"/>
        <w:spacing w:after="0" w:line="240" w:lineRule="atLeast"/>
        <w:jc w:val="both"/>
        <w:rPr>
          <w:rFonts w:ascii="Times New Roman" w:hAnsi="Times New Roman" w:cs="Times New Roman"/>
          <w:color w:val="2A2A2A"/>
          <w:sz w:val="24"/>
          <w:szCs w:val="24"/>
          <w:shd w:val="clear" w:color="auto" w:fill="FFFFFF"/>
          <w:lang w:val="en-US"/>
        </w:rPr>
      </w:pPr>
      <w:r w:rsidRPr="000C5FA5">
        <w:rPr>
          <w:rFonts w:ascii="Times New Roman" w:hAnsi="Times New Roman" w:cs="Times New Roman"/>
          <w:color w:val="2A2A2A"/>
          <w:sz w:val="24"/>
          <w:szCs w:val="24"/>
          <w:shd w:val="clear" w:color="auto" w:fill="FFFFFF"/>
          <w:lang w:val="en-US"/>
        </w:rPr>
        <w:t xml:space="preserve">When </w:t>
      </w:r>
      <w:r w:rsidR="003A199B">
        <w:rPr>
          <w:rFonts w:ascii="Times New Roman" w:hAnsi="Times New Roman" w:cs="Times New Roman"/>
          <w:color w:val="2A2A2A"/>
          <w:sz w:val="24"/>
          <w:szCs w:val="24"/>
          <w:shd w:val="clear" w:color="auto" w:fill="FFFFFF"/>
          <w:lang w:val="en-US"/>
        </w:rPr>
        <w:t xml:space="preserve">Ms. </w:t>
      </w:r>
      <w:r w:rsidRPr="000C5FA5">
        <w:rPr>
          <w:rFonts w:ascii="Times New Roman" w:hAnsi="Times New Roman" w:cs="Times New Roman"/>
          <w:color w:val="2A2A2A"/>
          <w:sz w:val="24"/>
          <w:szCs w:val="24"/>
          <w:shd w:val="clear" w:color="auto" w:fill="FFFFFF"/>
          <w:lang w:val="en-US"/>
        </w:rPr>
        <w:t>Ursula von der Leyen b</w:t>
      </w:r>
      <w:r w:rsidR="004D1EA3" w:rsidRPr="000C5FA5">
        <w:rPr>
          <w:rFonts w:ascii="Times New Roman" w:hAnsi="Times New Roman" w:cs="Times New Roman"/>
          <w:color w:val="2A2A2A"/>
          <w:sz w:val="24"/>
          <w:szCs w:val="24"/>
          <w:shd w:val="clear" w:color="auto" w:fill="FFFFFF"/>
          <w:lang w:val="en-US"/>
        </w:rPr>
        <w:t>e</w:t>
      </w:r>
      <w:r w:rsidRPr="000C5FA5">
        <w:rPr>
          <w:rFonts w:ascii="Times New Roman" w:hAnsi="Times New Roman" w:cs="Times New Roman"/>
          <w:color w:val="2A2A2A"/>
          <w:sz w:val="24"/>
          <w:szCs w:val="24"/>
          <w:shd w:val="clear" w:color="auto" w:fill="FFFFFF"/>
          <w:lang w:val="en-US"/>
        </w:rPr>
        <w:t xml:space="preserve">came a president of the European Commission in late 2019, she articulated six key political priorities </w:t>
      </w:r>
      <w:r w:rsidR="003A199B">
        <w:rPr>
          <w:rFonts w:ascii="Times New Roman" w:hAnsi="Times New Roman" w:cs="Times New Roman"/>
          <w:color w:val="2A2A2A"/>
          <w:sz w:val="24"/>
          <w:szCs w:val="24"/>
          <w:shd w:val="clear" w:color="auto" w:fill="FFFFFF"/>
          <w:lang w:val="en-US"/>
        </w:rPr>
        <w:t xml:space="preserve">of the Commission </w:t>
      </w:r>
      <w:r w:rsidRPr="000C5FA5">
        <w:rPr>
          <w:rFonts w:ascii="Times New Roman" w:hAnsi="Times New Roman" w:cs="Times New Roman"/>
          <w:color w:val="2A2A2A"/>
          <w:sz w:val="24"/>
          <w:szCs w:val="24"/>
          <w:shd w:val="clear" w:color="auto" w:fill="FFFFFF"/>
          <w:lang w:val="en-US"/>
        </w:rPr>
        <w:t xml:space="preserve">for the 5-years long mandate. The </w:t>
      </w:r>
      <w:r w:rsidR="00490119" w:rsidRPr="000C5FA5">
        <w:rPr>
          <w:rFonts w:ascii="Times New Roman" w:hAnsi="Times New Roman" w:cs="Times New Roman"/>
          <w:color w:val="2A2A2A"/>
          <w:sz w:val="24"/>
          <w:szCs w:val="24"/>
          <w:shd w:val="clear" w:color="auto" w:fill="FFFFFF"/>
          <w:lang w:val="en-US"/>
        </w:rPr>
        <w:t>priorities</w:t>
      </w:r>
      <w:r w:rsidR="003A199B">
        <w:rPr>
          <w:rFonts w:ascii="Times New Roman" w:hAnsi="Times New Roman" w:cs="Times New Roman"/>
          <w:color w:val="2A2A2A"/>
          <w:sz w:val="24"/>
          <w:szCs w:val="24"/>
          <w:shd w:val="clear" w:color="auto" w:fill="FFFFFF"/>
          <w:lang w:val="en-US"/>
        </w:rPr>
        <w:t xml:space="preserve">, they were </w:t>
      </w:r>
      <w:r w:rsidR="004D1EA3" w:rsidRPr="000C5FA5">
        <w:rPr>
          <w:rFonts w:ascii="Times New Roman" w:hAnsi="Times New Roman" w:cs="Times New Roman"/>
          <w:color w:val="2A2A2A"/>
          <w:sz w:val="24"/>
          <w:szCs w:val="24"/>
          <w:shd w:val="clear" w:color="auto" w:fill="FFFFFF"/>
          <w:lang w:val="en-US"/>
        </w:rPr>
        <w:t>endorsed by the EU member states</w:t>
      </w:r>
      <w:r w:rsidR="003A199B">
        <w:rPr>
          <w:rFonts w:ascii="Times New Roman" w:hAnsi="Times New Roman" w:cs="Times New Roman"/>
          <w:color w:val="2A2A2A"/>
          <w:sz w:val="24"/>
          <w:szCs w:val="24"/>
          <w:shd w:val="clear" w:color="auto" w:fill="FFFFFF"/>
          <w:lang w:val="en-US"/>
        </w:rPr>
        <w:t xml:space="preserve">, are as follows: </w:t>
      </w:r>
      <w:r w:rsidRPr="000C5FA5">
        <w:rPr>
          <w:rFonts w:ascii="Times New Roman" w:hAnsi="Times New Roman" w:cs="Times New Roman"/>
          <w:color w:val="2A2A2A"/>
          <w:sz w:val="24"/>
          <w:szCs w:val="24"/>
          <w:shd w:val="clear" w:color="auto" w:fill="FFFFFF"/>
          <w:lang w:val="en-US"/>
        </w:rPr>
        <w:t xml:space="preserve">(i) </w:t>
      </w:r>
      <w:r w:rsidR="007019A1">
        <w:rPr>
          <w:rFonts w:ascii="Times New Roman" w:hAnsi="Times New Roman" w:cs="Times New Roman"/>
          <w:color w:val="2A2A2A"/>
          <w:sz w:val="24"/>
          <w:szCs w:val="24"/>
          <w:shd w:val="clear" w:color="auto" w:fill="FFFFFF"/>
          <w:lang w:val="en-US"/>
        </w:rPr>
        <w:t>E</w:t>
      </w:r>
      <w:r w:rsidR="00490119" w:rsidRPr="000C5FA5">
        <w:rPr>
          <w:rFonts w:ascii="Times New Roman" w:hAnsi="Times New Roman" w:cs="Times New Roman"/>
          <w:color w:val="2A2A2A"/>
          <w:sz w:val="24"/>
          <w:szCs w:val="24"/>
          <w:shd w:val="clear" w:color="auto" w:fill="FFFFFF"/>
          <w:lang w:val="en-US"/>
        </w:rPr>
        <w:t>uropean Green Deal</w:t>
      </w:r>
      <w:r w:rsidRPr="000C5FA5">
        <w:rPr>
          <w:rFonts w:ascii="Times New Roman" w:hAnsi="Times New Roman" w:cs="Times New Roman"/>
          <w:color w:val="2A2A2A"/>
          <w:sz w:val="24"/>
          <w:szCs w:val="24"/>
          <w:shd w:val="clear" w:color="auto" w:fill="FFFFFF"/>
          <w:lang w:val="en-US"/>
        </w:rPr>
        <w:t xml:space="preserve">, (ii) </w:t>
      </w:r>
      <w:r w:rsidR="00490119" w:rsidRPr="000C5FA5">
        <w:rPr>
          <w:rFonts w:ascii="Times New Roman" w:hAnsi="Times New Roman" w:cs="Times New Roman"/>
          <w:color w:val="2A2A2A"/>
          <w:sz w:val="24"/>
          <w:szCs w:val="24"/>
          <w:shd w:val="clear" w:color="auto" w:fill="FFFFFF"/>
          <w:lang w:val="en-US"/>
        </w:rPr>
        <w:t>Europe fit for the digital age</w:t>
      </w:r>
      <w:r w:rsidRPr="000C5FA5">
        <w:rPr>
          <w:rFonts w:ascii="Times New Roman" w:hAnsi="Times New Roman" w:cs="Times New Roman"/>
          <w:color w:val="2A2A2A"/>
          <w:sz w:val="24"/>
          <w:szCs w:val="24"/>
          <w:shd w:val="clear" w:color="auto" w:fill="FFFFFF"/>
          <w:lang w:val="en-US"/>
        </w:rPr>
        <w:t xml:space="preserve">, (iii) </w:t>
      </w:r>
      <w:r w:rsidR="007019A1">
        <w:rPr>
          <w:rFonts w:ascii="Times New Roman" w:hAnsi="Times New Roman" w:cs="Times New Roman"/>
          <w:color w:val="2A2A2A"/>
          <w:sz w:val="24"/>
          <w:szCs w:val="24"/>
          <w:shd w:val="clear" w:color="auto" w:fill="FFFFFF"/>
          <w:lang w:val="en-US"/>
        </w:rPr>
        <w:t>E</w:t>
      </w:r>
      <w:r w:rsidR="00490119" w:rsidRPr="000C5FA5">
        <w:rPr>
          <w:rFonts w:ascii="Times New Roman" w:hAnsi="Times New Roman" w:cs="Times New Roman"/>
          <w:color w:val="2A2A2A"/>
          <w:sz w:val="24"/>
          <w:szCs w:val="24"/>
          <w:shd w:val="clear" w:color="auto" w:fill="FFFFFF"/>
          <w:lang w:val="en-US"/>
        </w:rPr>
        <w:t>conomy that works for people</w:t>
      </w:r>
      <w:r w:rsidRPr="000C5FA5">
        <w:rPr>
          <w:rFonts w:ascii="Times New Roman" w:hAnsi="Times New Roman" w:cs="Times New Roman"/>
          <w:color w:val="2A2A2A"/>
          <w:sz w:val="24"/>
          <w:szCs w:val="24"/>
          <w:shd w:val="clear" w:color="auto" w:fill="FFFFFF"/>
          <w:lang w:val="en-US"/>
        </w:rPr>
        <w:t xml:space="preserve">, (iv) </w:t>
      </w:r>
      <w:r w:rsidR="007019A1">
        <w:rPr>
          <w:rFonts w:ascii="Times New Roman" w:hAnsi="Times New Roman" w:cs="Times New Roman"/>
          <w:color w:val="2A2A2A"/>
          <w:sz w:val="24"/>
          <w:szCs w:val="24"/>
          <w:shd w:val="clear" w:color="auto" w:fill="FFFFFF"/>
          <w:lang w:val="en-US"/>
        </w:rPr>
        <w:t>S</w:t>
      </w:r>
      <w:r w:rsidR="00490119" w:rsidRPr="000C5FA5">
        <w:rPr>
          <w:rFonts w:ascii="Times New Roman" w:hAnsi="Times New Roman" w:cs="Times New Roman"/>
          <w:color w:val="2A2A2A"/>
          <w:sz w:val="24"/>
          <w:szCs w:val="24"/>
          <w:shd w:val="clear" w:color="auto" w:fill="FFFFFF"/>
          <w:lang w:val="en-US"/>
        </w:rPr>
        <w:t>tronger Europe in the world</w:t>
      </w:r>
      <w:r w:rsidRPr="000C5FA5">
        <w:rPr>
          <w:rFonts w:ascii="Times New Roman" w:hAnsi="Times New Roman" w:cs="Times New Roman"/>
          <w:color w:val="2A2A2A"/>
          <w:sz w:val="24"/>
          <w:szCs w:val="24"/>
          <w:shd w:val="clear" w:color="auto" w:fill="FFFFFF"/>
          <w:lang w:val="en-US"/>
        </w:rPr>
        <w:t xml:space="preserve">, (v) </w:t>
      </w:r>
      <w:r w:rsidR="00490119" w:rsidRPr="000C5FA5">
        <w:rPr>
          <w:rFonts w:ascii="Times New Roman" w:hAnsi="Times New Roman" w:cs="Times New Roman"/>
          <w:color w:val="2A2A2A"/>
          <w:sz w:val="24"/>
          <w:szCs w:val="24"/>
          <w:shd w:val="clear" w:color="auto" w:fill="FFFFFF"/>
          <w:lang w:val="en-US"/>
        </w:rPr>
        <w:t>European way of life</w:t>
      </w:r>
      <w:r w:rsidRPr="000C5FA5">
        <w:rPr>
          <w:rFonts w:ascii="Times New Roman" w:hAnsi="Times New Roman" w:cs="Times New Roman"/>
          <w:color w:val="2A2A2A"/>
          <w:sz w:val="24"/>
          <w:szCs w:val="24"/>
          <w:shd w:val="clear" w:color="auto" w:fill="FFFFFF"/>
          <w:lang w:val="en-US"/>
        </w:rPr>
        <w:t xml:space="preserve">, and (vi) </w:t>
      </w:r>
      <w:r w:rsidR="00490119" w:rsidRPr="000C5FA5">
        <w:rPr>
          <w:rFonts w:ascii="Times New Roman" w:hAnsi="Times New Roman" w:cs="Times New Roman"/>
          <w:color w:val="2A2A2A"/>
          <w:sz w:val="24"/>
          <w:szCs w:val="24"/>
          <w:shd w:val="clear" w:color="auto" w:fill="FFFFFF"/>
          <w:lang w:val="en-US"/>
        </w:rPr>
        <w:t>European democracy</w:t>
      </w:r>
      <w:r w:rsidRPr="000C5FA5">
        <w:rPr>
          <w:rFonts w:ascii="Times New Roman" w:hAnsi="Times New Roman" w:cs="Times New Roman"/>
          <w:color w:val="2A2A2A"/>
          <w:sz w:val="24"/>
          <w:szCs w:val="24"/>
          <w:shd w:val="clear" w:color="auto" w:fill="FFFFFF"/>
          <w:lang w:val="en-US"/>
        </w:rPr>
        <w:t xml:space="preserve">. </w:t>
      </w:r>
      <w:r w:rsidR="003A199B">
        <w:rPr>
          <w:rFonts w:ascii="Times New Roman" w:hAnsi="Times New Roman" w:cs="Times New Roman"/>
          <w:color w:val="2A2A2A"/>
          <w:sz w:val="24"/>
          <w:szCs w:val="24"/>
          <w:shd w:val="clear" w:color="auto" w:fill="FFFFFF"/>
          <w:lang w:val="en-US"/>
        </w:rPr>
        <w:t xml:space="preserve">All the </w:t>
      </w:r>
      <w:r w:rsidR="0099293C">
        <w:rPr>
          <w:rFonts w:ascii="Times New Roman" w:hAnsi="Times New Roman" w:cs="Times New Roman"/>
          <w:color w:val="2A2A2A"/>
          <w:sz w:val="24"/>
          <w:szCs w:val="24"/>
          <w:shd w:val="clear" w:color="auto" w:fill="FFFFFF"/>
          <w:lang w:val="en-US"/>
        </w:rPr>
        <w:t xml:space="preserve">six priorities are strongly anchored within the global framework for shaping sustainable development policies worldwide as articulated within the UN </w:t>
      </w:r>
      <w:r w:rsidR="0099293C" w:rsidRPr="008B1912">
        <w:rPr>
          <w:rFonts w:ascii="Times New Roman" w:hAnsi="Times New Roman" w:cs="Times New Roman"/>
          <w:i/>
          <w:color w:val="2A2A2A"/>
          <w:sz w:val="24"/>
          <w:szCs w:val="24"/>
          <w:shd w:val="clear" w:color="auto" w:fill="FFFFFF"/>
          <w:lang w:val="en-US"/>
        </w:rPr>
        <w:t xml:space="preserve">2030 Agenda for Sustainable Development </w:t>
      </w:r>
      <w:r w:rsidR="0099293C">
        <w:rPr>
          <w:rFonts w:ascii="Times New Roman" w:hAnsi="Times New Roman" w:cs="Times New Roman"/>
          <w:color w:val="2A2A2A"/>
          <w:sz w:val="24"/>
          <w:szCs w:val="24"/>
          <w:shd w:val="clear" w:color="auto" w:fill="FFFFFF"/>
          <w:lang w:val="en-US"/>
        </w:rPr>
        <w:t>and its 17 strategic development goals</w:t>
      </w:r>
      <w:r w:rsidR="003A199B">
        <w:rPr>
          <w:rFonts w:ascii="Times New Roman" w:hAnsi="Times New Roman" w:cs="Times New Roman"/>
          <w:color w:val="2A2A2A"/>
          <w:sz w:val="24"/>
          <w:szCs w:val="24"/>
          <w:shd w:val="clear" w:color="auto" w:fill="FFFFFF"/>
          <w:lang w:val="en-US"/>
        </w:rPr>
        <w:t xml:space="preserve"> (SDG)</w:t>
      </w:r>
      <w:r w:rsidR="0099293C">
        <w:rPr>
          <w:rFonts w:ascii="Times New Roman" w:hAnsi="Times New Roman" w:cs="Times New Roman"/>
          <w:color w:val="2A2A2A"/>
          <w:sz w:val="24"/>
          <w:szCs w:val="24"/>
          <w:shd w:val="clear" w:color="auto" w:fill="FFFFFF"/>
          <w:lang w:val="en-US"/>
        </w:rPr>
        <w:t xml:space="preserve">. </w:t>
      </w:r>
    </w:p>
    <w:p w:rsidR="003A199B" w:rsidRDefault="003A199B" w:rsidP="00DC0364">
      <w:pPr>
        <w:autoSpaceDE w:val="0"/>
        <w:autoSpaceDN w:val="0"/>
        <w:adjustRightInd w:val="0"/>
        <w:spacing w:after="0" w:line="240" w:lineRule="atLeast"/>
        <w:jc w:val="both"/>
        <w:rPr>
          <w:rFonts w:ascii="Times New Roman" w:hAnsi="Times New Roman" w:cs="Times New Roman"/>
          <w:color w:val="2A2A2A"/>
          <w:sz w:val="24"/>
          <w:szCs w:val="24"/>
          <w:shd w:val="clear" w:color="auto" w:fill="FFFFFF"/>
          <w:lang w:val="en-US"/>
        </w:rPr>
      </w:pPr>
    </w:p>
    <w:p w:rsidR="0099293C" w:rsidRDefault="0099293C" w:rsidP="00DC0364">
      <w:pPr>
        <w:autoSpaceDE w:val="0"/>
        <w:autoSpaceDN w:val="0"/>
        <w:adjustRightInd w:val="0"/>
        <w:spacing w:after="0" w:line="240" w:lineRule="atLeast"/>
        <w:jc w:val="both"/>
        <w:rPr>
          <w:rFonts w:ascii="Times New Roman" w:hAnsi="Times New Roman" w:cs="Times New Roman"/>
          <w:color w:val="2A2A2A"/>
          <w:sz w:val="24"/>
          <w:szCs w:val="24"/>
          <w:shd w:val="clear" w:color="auto" w:fill="FFFFFF"/>
          <w:lang w:val="en-US"/>
        </w:rPr>
      </w:pPr>
      <w:r>
        <w:rPr>
          <w:rFonts w:ascii="Times New Roman" w:hAnsi="Times New Roman" w:cs="Times New Roman"/>
          <w:color w:val="2A2A2A"/>
          <w:sz w:val="24"/>
          <w:szCs w:val="24"/>
          <w:shd w:val="clear" w:color="auto" w:fill="FFFFFF"/>
          <w:lang w:val="en-US"/>
        </w:rPr>
        <w:t xml:space="preserve">The following graph illustrates how </w:t>
      </w:r>
      <w:r w:rsidR="003A199B">
        <w:rPr>
          <w:rFonts w:ascii="Times New Roman" w:hAnsi="Times New Roman" w:cs="Times New Roman"/>
          <w:color w:val="2A2A2A"/>
          <w:sz w:val="24"/>
          <w:szCs w:val="24"/>
          <w:shd w:val="clear" w:color="auto" w:fill="FFFFFF"/>
          <w:lang w:val="en-US"/>
        </w:rPr>
        <w:t xml:space="preserve">the 17 SDGs </w:t>
      </w:r>
      <w:r>
        <w:rPr>
          <w:rFonts w:ascii="Times New Roman" w:hAnsi="Times New Roman" w:cs="Times New Roman"/>
          <w:color w:val="2A2A2A"/>
          <w:sz w:val="24"/>
          <w:szCs w:val="24"/>
          <w:shd w:val="clear" w:color="auto" w:fill="FFFFFF"/>
          <w:lang w:val="en-US"/>
        </w:rPr>
        <w:t xml:space="preserve">are integrated into the EU policymaking </w:t>
      </w:r>
      <w:r w:rsidR="0043210C">
        <w:rPr>
          <w:rFonts w:ascii="Times New Roman" w:hAnsi="Times New Roman" w:cs="Times New Roman"/>
          <w:color w:val="2A2A2A"/>
          <w:sz w:val="24"/>
          <w:szCs w:val="24"/>
          <w:shd w:val="clear" w:color="auto" w:fill="FFFFFF"/>
          <w:lang w:val="en-US"/>
        </w:rPr>
        <w:t xml:space="preserve">across sectors </w:t>
      </w:r>
      <w:r>
        <w:rPr>
          <w:rFonts w:ascii="Times New Roman" w:hAnsi="Times New Roman" w:cs="Times New Roman"/>
          <w:color w:val="2A2A2A"/>
          <w:sz w:val="24"/>
          <w:szCs w:val="24"/>
          <w:shd w:val="clear" w:color="auto" w:fill="FFFFFF"/>
          <w:lang w:val="en-US"/>
        </w:rPr>
        <w:t xml:space="preserve">on internal </w:t>
      </w:r>
      <w:r w:rsidR="0043210C">
        <w:rPr>
          <w:rFonts w:ascii="Times New Roman" w:hAnsi="Times New Roman" w:cs="Times New Roman"/>
          <w:color w:val="2A2A2A"/>
          <w:sz w:val="24"/>
          <w:szCs w:val="24"/>
          <w:shd w:val="clear" w:color="auto" w:fill="FFFFFF"/>
          <w:lang w:val="en-US"/>
        </w:rPr>
        <w:t xml:space="preserve">and external actions. </w:t>
      </w:r>
    </w:p>
    <w:p w:rsidR="007A5092" w:rsidRDefault="007A5092" w:rsidP="00107AD9">
      <w:pPr>
        <w:autoSpaceDE w:val="0"/>
        <w:autoSpaceDN w:val="0"/>
        <w:adjustRightInd w:val="0"/>
        <w:spacing w:after="0" w:line="240" w:lineRule="auto"/>
        <w:jc w:val="both"/>
        <w:rPr>
          <w:rFonts w:ascii="Times New Roman" w:hAnsi="Times New Roman" w:cs="Times New Roman"/>
          <w:sz w:val="24"/>
          <w:szCs w:val="24"/>
          <w:lang w:val="en-PH"/>
        </w:rPr>
      </w:pPr>
    </w:p>
    <w:p w:rsidR="0099293C" w:rsidRDefault="0099293C" w:rsidP="00107AD9">
      <w:pPr>
        <w:autoSpaceDE w:val="0"/>
        <w:autoSpaceDN w:val="0"/>
        <w:adjustRightInd w:val="0"/>
        <w:spacing w:after="0" w:line="240" w:lineRule="auto"/>
        <w:jc w:val="both"/>
        <w:rPr>
          <w:rFonts w:ascii="Times New Roman" w:hAnsi="Times New Roman" w:cs="Times New Roman"/>
          <w:sz w:val="24"/>
          <w:szCs w:val="24"/>
          <w:lang w:val="en-PH"/>
        </w:rPr>
      </w:pPr>
      <w:r w:rsidRPr="0099293C">
        <w:rPr>
          <w:rFonts w:ascii="Times New Roman" w:hAnsi="Times New Roman" w:cs="Times New Roman"/>
          <w:noProof/>
          <w:sz w:val="24"/>
          <w:szCs w:val="24"/>
          <w:lang w:eastAsia="sl-SI"/>
        </w:rPr>
        <w:drawing>
          <wp:inline distT="0" distB="0" distL="0" distR="0" wp14:anchorId="00C4A124" wp14:editId="389A03A1">
            <wp:extent cx="5731510" cy="2647950"/>
            <wp:effectExtent l="0" t="0" r="2540" b="0"/>
            <wp:docPr id="50180" name="Picture 2" descr="https://ec.europa.eu/info/sites/default/files/sdgs_web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2" descr="https://ec.europa.eu/info/sites/default/files/sdgs_web1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647950"/>
                    </a:xfrm>
                    <a:prstGeom prst="rect">
                      <a:avLst/>
                    </a:prstGeom>
                    <a:noFill/>
                    <a:ln>
                      <a:noFill/>
                    </a:ln>
                    <a:extLst/>
                  </pic:spPr>
                </pic:pic>
              </a:graphicData>
            </a:graphic>
          </wp:inline>
        </w:drawing>
      </w:r>
    </w:p>
    <w:p w:rsidR="0099293C" w:rsidRPr="003A199B" w:rsidRDefault="0099293C" w:rsidP="0099293C">
      <w:pPr>
        <w:autoSpaceDE w:val="0"/>
        <w:autoSpaceDN w:val="0"/>
        <w:adjustRightInd w:val="0"/>
        <w:spacing w:after="0" w:line="240" w:lineRule="auto"/>
        <w:jc w:val="both"/>
        <w:rPr>
          <w:rFonts w:ascii="Times New Roman" w:hAnsi="Times New Roman" w:cs="Times New Roman"/>
          <w:sz w:val="20"/>
          <w:szCs w:val="20"/>
        </w:rPr>
      </w:pPr>
    </w:p>
    <w:p w:rsidR="003A199B" w:rsidRPr="003A199B" w:rsidRDefault="003A199B" w:rsidP="0099293C">
      <w:pPr>
        <w:autoSpaceDE w:val="0"/>
        <w:autoSpaceDN w:val="0"/>
        <w:adjustRightInd w:val="0"/>
        <w:spacing w:after="0" w:line="240" w:lineRule="auto"/>
        <w:jc w:val="both"/>
        <w:rPr>
          <w:rFonts w:ascii="Times New Roman" w:hAnsi="Times New Roman" w:cs="Times New Roman"/>
          <w:sz w:val="20"/>
          <w:szCs w:val="20"/>
          <w:lang w:val="en-US"/>
        </w:rPr>
      </w:pPr>
      <w:r w:rsidRPr="003A199B">
        <w:rPr>
          <w:rFonts w:ascii="Times New Roman" w:hAnsi="Times New Roman" w:cs="Times New Roman"/>
          <w:sz w:val="20"/>
          <w:szCs w:val="20"/>
          <w:lang w:val="en-US"/>
        </w:rPr>
        <w:t>Source: European Commission</w:t>
      </w:r>
    </w:p>
    <w:p w:rsidR="003A199B" w:rsidRDefault="003A199B" w:rsidP="0099293C">
      <w:pPr>
        <w:autoSpaceDE w:val="0"/>
        <w:autoSpaceDN w:val="0"/>
        <w:adjustRightInd w:val="0"/>
        <w:spacing w:after="0" w:line="240" w:lineRule="auto"/>
        <w:jc w:val="both"/>
        <w:rPr>
          <w:rFonts w:ascii="Times New Roman" w:hAnsi="Times New Roman" w:cs="Times New Roman"/>
          <w:sz w:val="24"/>
          <w:szCs w:val="24"/>
        </w:rPr>
      </w:pPr>
    </w:p>
    <w:p w:rsidR="004C1E93" w:rsidRPr="000C5FA5" w:rsidRDefault="004D1EA3" w:rsidP="0063683F">
      <w:pPr>
        <w:autoSpaceDE w:val="0"/>
        <w:autoSpaceDN w:val="0"/>
        <w:adjustRightInd w:val="0"/>
        <w:spacing w:after="0" w:line="240" w:lineRule="atLeast"/>
        <w:jc w:val="both"/>
        <w:rPr>
          <w:rFonts w:ascii="Times New Roman" w:hAnsi="Times New Roman" w:cs="Times New Roman"/>
          <w:sz w:val="24"/>
          <w:szCs w:val="24"/>
          <w:lang w:val="en-PH"/>
        </w:rPr>
      </w:pPr>
      <w:r w:rsidRPr="000C5FA5">
        <w:rPr>
          <w:rFonts w:ascii="Times New Roman" w:hAnsi="Times New Roman" w:cs="Times New Roman"/>
          <w:sz w:val="24"/>
          <w:szCs w:val="24"/>
          <w:lang w:val="en-PH"/>
        </w:rPr>
        <w:t xml:space="preserve">In spring 2020, </w:t>
      </w:r>
      <w:r w:rsidR="00107AD9" w:rsidRPr="000C5FA5">
        <w:rPr>
          <w:rFonts w:ascii="Times New Roman" w:hAnsi="Times New Roman" w:cs="Times New Roman"/>
          <w:sz w:val="24"/>
          <w:szCs w:val="24"/>
          <w:lang w:val="en-PH"/>
        </w:rPr>
        <w:t xml:space="preserve">the </w:t>
      </w:r>
      <w:r w:rsidRPr="000C5FA5">
        <w:rPr>
          <w:rFonts w:ascii="Times New Roman" w:hAnsi="Times New Roman" w:cs="Times New Roman"/>
          <w:sz w:val="24"/>
          <w:szCs w:val="24"/>
          <w:lang w:val="en-PH"/>
        </w:rPr>
        <w:t>EU and t</w:t>
      </w:r>
      <w:r w:rsidR="00107AD9" w:rsidRPr="000C5FA5">
        <w:rPr>
          <w:rFonts w:ascii="Times New Roman" w:hAnsi="Times New Roman" w:cs="Times New Roman"/>
          <w:sz w:val="24"/>
          <w:szCs w:val="24"/>
          <w:lang w:val="en-PH"/>
        </w:rPr>
        <w:t xml:space="preserve">he </w:t>
      </w:r>
      <w:r w:rsidR="004C1E93" w:rsidRPr="000C5FA5">
        <w:rPr>
          <w:rFonts w:ascii="Times New Roman" w:hAnsi="Times New Roman" w:cs="Times New Roman"/>
          <w:sz w:val="24"/>
          <w:szCs w:val="24"/>
          <w:lang w:val="en-PH"/>
        </w:rPr>
        <w:t xml:space="preserve">whole </w:t>
      </w:r>
      <w:r w:rsidRPr="000C5FA5">
        <w:rPr>
          <w:rFonts w:ascii="Times New Roman" w:hAnsi="Times New Roman" w:cs="Times New Roman"/>
          <w:sz w:val="24"/>
          <w:szCs w:val="24"/>
          <w:lang w:val="en-PH"/>
        </w:rPr>
        <w:t xml:space="preserve">world </w:t>
      </w:r>
      <w:r w:rsidR="00107AD9" w:rsidRPr="000C5FA5">
        <w:rPr>
          <w:rFonts w:ascii="Times New Roman" w:hAnsi="Times New Roman" w:cs="Times New Roman"/>
          <w:sz w:val="24"/>
          <w:szCs w:val="24"/>
          <w:lang w:val="en-PH"/>
        </w:rPr>
        <w:t>were profoundly affected by the sudden outbreak</w:t>
      </w:r>
      <w:r w:rsidR="00107AD9" w:rsidRPr="004C1E93">
        <w:rPr>
          <w:rFonts w:ascii="Times New Roman" w:hAnsi="Times New Roman" w:cs="Times New Roman"/>
          <w:sz w:val="24"/>
          <w:szCs w:val="24"/>
          <w:lang w:val="en-PH"/>
        </w:rPr>
        <w:t xml:space="preserve"> of the </w:t>
      </w:r>
      <w:r w:rsidR="000C5FA5">
        <w:rPr>
          <w:rFonts w:ascii="Times New Roman" w:hAnsi="Times New Roman" w:cs="Times New Roman"/>
          <w:sz w:val="24"/>
          <w:szCs w:val="24"/>
          <w:lang w:val="en-PH"/>
        </w:rPr>
        <w:t xml:space="preserve">COVID </w:t>
      </w:r>
      <w:r w:rsidR="00107AD9" w:rsidRPr="004C1E93">
        <w:rPr>
          <w:rFonts w:ascii="Times New Roman" w:hAnsi="Times New Roman" w:cs="Times New Roman"/>
          <w:sz w:val="24"/>
          <w:szCs w:val="24"/>
          <w:lang w:val="en-PH"/>
        </w:rPr>
        <w:t xml:space="preserve">crisis, with the </w:t>
      </w:r>
      <w:r w:rsidR="004C1E93" w:rsidRPr="004C1E93">
        <w:rPr>
          <w:rFonts w:ascii="Times New Roman" w:hAnsi="Times New Roman" w:cs="Times New Roman"/>
          <w:sz w:val="24"/>
          <w:szCs w:val="24"/>
          <w:lang w:val="en-PH"/>
        </w:rPr>
        <w:t xml:space="preserve">health crisis </w:t>
      </w:r>
      <w:r w:rsidR="00107AD9" w:rsidRPr="004C1E93">
        <w:rPr>
          <w:rFonts w:ascii="Times New Roman" w:hAnsi="Times New Roman" w:cs="Times New Roman"/>
          <w:sz w:val="24"/>
          <w:szCs w:val="24"/>
          <w:lang w:val="en-PH"/>
        </w:rPr>
        <w:t xml:space="preserve">soon evolving into a multi-faceted crisis. This crisis </w:t>
      </w:r>
      <w:r w:rsidR="00107AD9" w:rsidRPr="000C5FA5">
        <w:rPr>
          <w:rFonts w:ascii="Times New Roman" w:hAnsi="Times New Roman" w:cs="Times New Roman"/>
          <w:sz w:val="24"/>
          <w:szCs w:val="24"/>
          <w:lang w:val="en-PH"/>
        </w:rPr>
        <w:t xml:space="preserve">has </w:t>
      </w:r>
      <w:r w:rsidR="004C1E93" w:rsidRPr="000C5FA5">
        <w:rPr>
          <w:rFonts w:ascii="Times New Roman" w:hAnsi="Times New Roman" w:cs="Times New Roman"/>
          <w:sz w:val="24"/>
          <w:szCs w:val="24"/>
          <w:lang w:val="en-PH"/>
        </w:rPr>
        <w:t xml:space="preserve">impacted </w:t>
      </w:r>
      <w:r w:rsidR="00107AD9" w:rsidRPr="000C5FA5">
        <w:rPr>
          <w:rFonts w:ascii="Times New Roman" w:hAnsi="Times New Roman" w:cs="Times New Roman"/>
          <w:sz w:val="24"/>
          <w:szCs w:val="24"/>
          <w:lang w:val="en-PH"/>
        </w:rPr>
        <w:t xml:space="preserve">the </w:t>
      </w:r>
      <w:r w:rsidR="000C5FA5" w:rsidRPr="000C5FA5">
        <w:rPr>
          <w:rFonts w:ascii="Times New Roman" w:hAnsi="Times New Roman" w:cs="Times New Roman"/>
          <w:sz w:val="24"/>
          <w:szCs w:val="24"/>
          <w:lang w:val="en-PH"/>
        </w:rPr>
        <w:t>EU’</w:t>
      </w:r>
      <w:r w:rsidR="00107AD9" w:rsidRPr="000C5FA5">
        <w:rPr>
          <w:rFonts w:ascii="Times New Roman" w:hAnsi="Times New Roman" w:cs="Times New Roman"/>
          <w:sz w:val="24"/>
          <w:szCs w:val="24"/>
          <w:lang w:val="en-PH"/>
        </w:rPr>
        <w:t xml:space="preserve">s six priorities and its practical capacity to pursue them over its </w:t>
      </w:r>
      <w:r w:rsidR="003A199B">
        <w:rPr>
          <w:rFonts w:ascii="Times New Roman" w:hAnsi="Times New Roman" w:cs="Times New Roman"/>
          <w:sz w:val="24"/>
          <w:szCs w:val="24"/>
          <w:lang w:val="en-PH"/>
        </w:rPr>
        <w:t xml:space="preserve">5-year </w:t>
      </w:r>
      <w:r w:rsidR="00107AD9" w:rsidRPr="000C5FA5">
        <w:rPr>
          <w:rFonts w:ascii="Times New Roman" w:hAnsi="Times New Roman" w:cs="Times New Roman"/>
          <w:sz w:val="24"/>
          <w:szCs w:val="24"/>
          <w:lang w:val="en-PH"/>
        </w:rPr>
        <w:t>term</w:t>
      </w:r>
      <w:r w:rsidR="003A199B">
        <w:rPr>
          <w:rFonts w:ascii="Times New Roman" w:hAnsi="Times New Roman" w:cs="Times New Roman"/>
          <w:sz w:val="24"/>
          <w:szCs w:val="24"/>
          <w:lang w:val="en-PH"/>
        </w:rPr>
        <w:t xml:space="preserve">, </w:t>
      </w:r>
      <w:r w:rsidR="00107AD9" w:rsidRPr="000C5FA5">
        <w:rPr>
          <w:rFonts w:ascii="Times New Roman" w:hAnsi="Times New Roman" w:cs="Times New Roman"/>
          <w:sz w:val="24"/>
          <w:szCs w:val="24"/>
          <w:lang w:val="en-PH"/>
        </w:rPr>
        <w:t xml:space="preserve">but the interesting feature is that the </w:t>
      </w:r>
      <w:r w:rsidR="000C5FA5" w:rsidRPr="000C5FA5">
        <w:rPr>
          <w:rFonts w:ascii="Times New Roman" w:hAnsi="Times New Roman" w:cs="Times New Roman"/>
          <w:sz w:val="24"/>
          <w:szCs w:val="24"/>
          <w:lang w:val="en-PH"/>
        </w:rPr>
        <w:t xml:space="preserve">EU </w:t>
      </w:r>
      <w:r w:rsidR="00107AD9" w:rsidRPr="000C5FA5">
        <w:rPr>
          <w:rFonts w:ascii="Times New Roman" w:hAnsi="Times New Roman" w:cs="Times New Roman"/>
          <w:sz w:val="24"/>
          <w:szCs w:val="24"/>
          <w:lang w:val="en-PH"/>
        </w:rPr>
        <w:t>has not chosen to abandon or significantly change these priorities</w:t>
      </w:r>
      <w:r w:rsidR="004C1E93" w:rsidRPr="000C5FA5">
        <w:rPr>
          <w:rFonts w:ascii="Times New Roman" w:hAnsi="Times New Roman" w:cs="Times New Roman"/>
          <w:sz w:val="24"/>
          <w:szCs w:val="24"/>
          <w:lang w:val="en-PH"/>
        </w:rPr>
        <w:t xml:space="preserve">. It has rather </w:t>
      </w:r>
      <w:r w:rsidR="00107AD9" w:rsidRPr="000C5FA5">
        <w:rPr>
          <w:rFonts w:ascii="Times New Roman" w:hAnsi="Times New Roman" w:cs="Times New Roman"/>
          <w:sz w:val="24"/>
          <w:szCs w:val="24"/>
          <w:lang w:val="en-PH"/>
        </w:rPr>
        <w:t>add</w:t>
      </w:r>
      <w:r w:rsidR="004C1E93" w:rsidRPr="000C5FA5">
        <w:rPr>
          <w:rFonts w:ascii="Times New Roman" w:hAnsi="Times New Roman" w:cs="Times New Roman"/>
          <w:sz w:val="24"/>
          <w:szCs w:val="24"/>
          <w:lang w:val="en-PH"/>
        </w:rPr>
        <w:t xml:space="preserve">ed </w:t>
      </w:r>
      <w:r w:rsidR="00107AD9" w:rsidRPr="000C5FA5">
        <w:rPr>
          <w:rFonts w:ascii="Times New Roman" w:hAnsi="Times New Roman" w:cs="Times New Roman"/>
          <w:sz w:val="24"/>
          <w:szCs w:val="24"/>
          <w:lang w:val="en-PH"/>
        </w:rPr>
        <w:t xml:space="preserve">a </w:t>
      </w:r>
      <w:r w:rsidR="00107AD9" w:rsidRPr="000C5FA5">
        <w:rPr>
          <w:rFonts w:ascii="Times New Roman" w:hAnsi="Times New Roman" w:cs="Times New Roman"/>
          <w:i/>
          <w:sz w:val="24"/>
          <w:szCs w:val="24"/>
          <w:lang w:val="en-PH"/>
        </w:rPr>
        <w:t>de</w:t>
      </w:r>
      <w:r w:rsidR="000C5FA5" w:rsidRPr="000C5FA5">
        <w:rPr>
          <w:rFonts w:ascii="Times New Roman" w:hAnsi="Times New Roman" w:cs="Times New Roman"/>
          <w:i/>
          <w:sz w:val="24"/>
          <w:szCs w:val="24"/>
          <w:lang w:val="en-PH"/>
        </w:rPr>
        <w:t>-</w:t>
      </w:r>
      <w:r w:rsidR="00107AD9" w:rsidRPr="000C5FA5">
        <w:rPr>
          <w:rFonts w:ascii="Times New Roman" w:hAnsi="Times New Roman" w:cs="Times New Roman"/>
          <w:i/>
          <w:sz w:val="24"/>
          <w:szCs w:val="24"/>
          <w:lang w:val="en-PH"/>
        </w:rPr>
        <w:t>facto</w:t>
      </w:r>
      <w:r w:rsidR="00107AD9" w:rsidRPr="000C5FA5">
        <w:rPr>
          <w:rFonts w:ascii="Times New Roman" w:hAnsi="Times New Roman" w:cs="Times New Roman"/>
          <w:sz w:val="24"/>
          <w:szCs w:val="24"/>
          <w:lang w:val="en-PH"/>
        </w:rPr>
        <w:t xml:space="preserve"> seventh priority to its existing portfolio, namely action to contain the coronavirus crisis and promote economic recovery from it</w:t>
      </w:r>
      <w:r w:rsidR="004C1E93" w:rsidRPr="000C5FA5">
        <w:rPr>
          <w:rFonts w:ascii="Times New Roman" w:hAnsi="Times New Roman" w:cs="Times New Roman"/>
          <w:sz w:val="24"/>
          <w:szCs w:val="24"/>
          <w:lang w:val="en-PH"/>
        </w:rPr>
        <w:t xml:space="preserve">. </w:t>
      </w:r>
    </w:p>
    <w:p w:rsidR="00293B7D" w:rsidRPr="000C5FA5" w:rsidRDefault="00293B7D" w:rsidP="0063683F">
      <w:pPr>
        <w:autoSpaceDE w:val="0"/>
        <w:autoSpaceDN w:val="0"/>
        <w:adjustRightInd w:val="0"/>
        <w:spacing w:after="0" w:line="240" w:lineRule="atLeast"/>
        <w:jc w:val="both"/>
        <w:rPr>
          <w:rFonts w:ascii="Times New Roman" w:hAnsi="Times New Roman" w:cs="Times New Roman"/>
          <w:sz w:val="24"/>
          <w:szCs w:val="24"/>
          <w:lang w:val="en-PH"/>
        </w:rPr>
      </w:pPr>
    </w:p>
    <w:p w:rsidR="000C5FA5" w:rsidRPr="00A81B38" w:rsidRDefault="003A199B" w:rsidP="0063683F">
      <w:pPr>
        <w:autoSpaceDE w:val="0"/>
        <w:autoSpaceDN w:val="0"/>
        <w:adjustRightInd w:val="0"/>
        <w:spacing w:after="0" w:line="240" w:lineRule="atLeast"/>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In fact, the </w:t>
      </w:r>
      <w:r w:rsidR="000C5FA5" w:rsidRPr="000C5FA5">
        <w:rPr>
          <w:rFonts w:ascii="Times New Roman" w:hAnsi="Times New Roman" w:cs="Times New Roman"/>
          <w:sz w:val="24"/>
          <w:szCs w:val="24"/>
          <w:lang w:val="en-PH"/>
        </w:rPr>
        <w:t>COVID crisis has</w:t>
      </w:r>
      <w:r>
        <w:rPr>
          <w:rFonts w:ascii="Times New Roman" w:hAnsi="Times New Roman" w:cs="Times New Roman"/>
          <w:sz w:val="24"/>
          <w:szCs w:val="24"/>
          <w:lang w:val="en-PH"/>
        </w:rPr>
        <w:t xml:space="preserve"> </w:t>
      </w:r>
      <w:r w:rsidR="000C5FA5" w:rsidRPr="000C5FA5">
        <w:rPr>
          <w:rFonts w:ascii="Times New Roman" w:hAnsi="Times New Roman" w:cs="Times New Roman"/>
          <w:sz w:val="24"/>
          <w:szCs w:val="24"/>
          <w:lang w:val="en-PH"/>
        </w:rPr>
        <w:t xml:space="preserve">reconfirmed the importance of the existing </w:t>
      </w:r>
      <w:r w:rsidR="0038712D">
        <w:rPr>
          <w:rFonts w:ascii="Times New Roman" w:hAnsi="Times New Roman" w:cs="Times New Roman"/>
          <w:sz w:val="24"/>
          <w:szCs w:val="24"/>
          <w:lang w:val="en-PH"/>
        </w:rPr>
        <w:t xml:space="preserve">six EU </w:t>
      </w:r>
      <w:r w:rsidR="000C5FA5" w:rsidRPr="000C5FA5">
        <w:rPr>
          <w:rFonts w:ascii="Times New Roman" w:hAnsi="Times New Roman" w:cs="Times New Roman"/>
          <w:sz w:val="24"/>
          <w:szCs w:val="24"/>
          <w:lang w:val="en-PH"/>
        </w:rPr>
        <w:t xml:space="preserve">priorities. The EU also sees the crisis as offering an opportunity to move further and faster in certain fields. This attitude is </w:t>
      </w:r>
      <w:r>
        <w:rPr>
          <w:rFonts w:ascii="Times New Roman" w:hAnsi="Times New Roman" w:cs="Times New Roman"/>
          <w:sz w:val="24"/>
          <w:szCs w:val="24"/>
          <w:lang w:val="en-PH"/>
        </w:rPr>
        <w:t xml:space="preserve">clearly visible in the </w:t>
      </w:r>
      <w:r w:rsidR="000C5FA5" w:rsidRPr="000C5FA5">
        <w:rPr>
          <w:rFonts w:ascii="Times New Roman" w:hAnsi="Times New Roman" w:cs="Times New Roman"/>
          <w:sz w:val="24"/>
          <w:szCs w:val="24"/>
          <w:lang w:val="en-PH"/>
        </w:rPr>
        <w:t xml:space="preserve">case </w:t>
      </w:r>
      <w:r>
        <w:rPr>
          <w:rFonts w:ascii="Times New Roman" w:hAnsi="Times New Roman" w:cs="Times New Roman"/>
          <w:sz w:val="24"/>
          <w:szCs w:val="24"/>
          <w:lang w:val="en-PH"/>
        </w:rPr>
        <w:t xml:space="preserve">of the </w:t>
      </w:r>
      <w:r w:rsidR="000C5FA5" w:rsidRPr="000C5FA5">
        <w:rPr>
          <w:rFonts w:ascii="Times New Roman" w:hAnsi="Times New Roman" w:cs="Times New Roman"/>
          <w:sz w:val="24"/>
          <w:szCs w:val="24"/>
          <w:lang w:val="en-PH"/>
        </w:rPr>
        <w:t xml:space="preserve">most ambitious of the six priorities, namely </w:t>
      </w:r>
      <w:r w:rsidR="007019A1">
        <w:rPr>
          <w:rFonts w:ascii="Times New Roman" w:hAnsi="Times New Roman" w:cs="Times New Roman"/>
          <w:sz w:val="24"/>
          <w:szCs w:val="24"/>
          <w:lang w:val="en-PH"/>
        </w:rPr>
        <w:t xml:space="preserve">the </w:t>
      </w:r>
      <w:r w:rsidR="000C5FA5" w:rsidRPr="00C87BCE">
        <w:rPr>
          <w:rFonts w:ascii="Times New Roman" w:hAnsi="Times New Roman" w:cs="Times New Roman"/>
          <w:i/>
          <w:sz w:val="24"/>
          <w:szCs w:val="24"/>
          <w:lang w:val="en-PH"/>
        </w:rPr>
        <w:t>European Green Deal</w:t>
      </w:r>
      <w:r w:rsidR="000C5FA5" w:rsidRPr="000C5FA5">
        <w:rPr>
          <w:rFonts w:ascii="Times New Roman" w:hAnsi="Times New Roman" w:cs="Times New Roman"/>
          <w:sz w:val="24"/>
          <w:szCs w:val="24"/>
          <w:lang w:val="en-PH"/>
        </w:rPr>
        <w:t xml:space="preserve"> </w:t>
      </w:r>
      <w:r w:rsidR="007019A1">
        <w:rPr>
          <w:rFonts w:ascii="Times New Roman" w:hAnsi="Times New Roman" w:cs="Times New Roman"/>
          <w:sz w:val="24"/>
          <w:szCs w:val="24"/>
          <w:lang w:val="en-PH"/>
        </w:rPr>
        <w:t xml:space="preserve">(EGD) </w:t>
      </w:r>
      <w:r w:rsidR="000C5FA5" w:rsidRPr="000C5FA5">
        <w:rPr>
          <w:rFonts w:ascii="Times New Roman" w:hAnsi="Times New Roman" w:cs="Times New Roman"/>
          <w:sz w:val="24"/>
          <w:szCs w:val="24"/>
          <w:lang w:val="en-PH"/>
        </w:rPr>
        <w:t xml:space="preserve">and </w:t>
      </w:r>
      <w:r w:rsidR="007019A1">
        <w:rPr>
          <w:rFonts w:ascii="Times New Roman" w:hAnsi="Times New Roman" w:cs="Times New Roman"/>
          <w:sz w:val="24"/>
          <w:szCs w:val="24"/>
          <w:lang w:val="en-PH"/>
        </w:rPr>
        <w:t xml:space="preserve">the </w:t>
      </w:r>
      <w:r w:rsidR="000C5FA5" w:rsidRPr="00C87BCE">
        <w:rPr>
          <w:rFonts w:ascii="Times New Roman" w:hAnsi="Times New Roman" w:cs="Times New Roman"/>
          <w:i/>
          <w:sz w:val="24"/>
          <w:szCs w:val="24"/>
          <w:lang w:val="en-PH"/>
        </w:rPr>
        <w:t>Europe fit for the digital age</w:t>
      </w:r>
      <w:r w:rsidR="007019A1">
        <w:rPr>
          <w:rFonts w:ascii="Times New Roman" w:hAnsi="Times New Roman" w:cs="Times New Roman"/>
          <w:sz w:val="24"/>
          <w:szCs w:val="24"/>
          <w:lang w:val="en-PH"/>
        </w:rPr>
        <w:t xml:space="preserve"> (EDA)</w:t>
      </w:r>
      <w:r w:rsidR="000C5FA5" w:rsidRPr="000C5FA5">
        <w:rPr>
          <w:rFonts w:ascii="Times New Roman" w:hAnsi="Times New Roman" w:cs="Times New Roman"/>
          <w:sz w:val="24"/>
          <w:szCs w:val="24"/>
          <w:lang w:val="en-PH"/>
        </w:rPr>
        <w:t xml:space="preserve">. On these two priorities, the EU decided to use the momentum of events surrounding the crisis not only to assert the increased relevance of these priorities – suggesting that radical changes in human behaviour are possible and that these are likely to be driven in large measure by digital innovation – but also to operationalise them further through </w:t>
      </w:r>
      <w:r w:rsidR="0038712D">
        <w:rPr>
          <w:rFonts w:ascii="Times New Roman" w:hAnsi="Times New Roman" w:cs="Times New Roman"/>
          <w:sz w:val="24"/>
          <w:szCs w:val="24"/>
          <w:lang w:val="en-PH"/>
        </w:rPr>
        <w:t xml:space="preserve">an entirely new </w:t>
      </w:r>
      <w:r>
        <w:rPr>
          <w:rFonts w:ascii="Times New Roman" w:hAnsi="Times New Roman" w:cs="Times New Roman"/>
          <w:sz w:val="24"/>
          <w:szCs w:val="24"/>
          <w:lang w:val="en-PH"/>
        </w:rPr>
        <w:t xml:space="preserve">EU </w:t>
      </w:r>
      <w:r w:rsidR="0038712D">
        <w:rPr>
          <w:rFonts w:ascii="Times New Roman" w:hAnsi="Times New Roman" w:cs="Times New Roman"/>
          <w:sz w:val="24"/>
          <w:szCs w:val="24"/>
          <w:lang w:val="en-PH"/>
        </w:rPr>
        <w:t xml:space="preserve">funding source, </w:t>
      </w:r>
      <w:r w:rsidR="0038712D">
        <w:rPr>
          <w:rFonts w:ascii="Times New Roman" w:hAnsi="Times New Roman" w:cs="Times New Roman"/>
          <w:sz w:val="24"/>
          <w:szCs w:val="24"/>
          <w:lang w:val="en-PH"/>
        </w:rPr>
        <w:lastRenderedPageBreak/>
        <w:t xml:space="preserve">the </w:t>
      </w:r>
      <w:r>
        <w:rPr>
          <w:rFonts w:ascii="Times New Roman" w:hAnsi="Times New Roman" w:cs="Times New Roman"/>
          <w:sz w:val="24"/>
          <w:szCs w:val="24"/>
          <w:lang w:val="en-PH"/>
        </w:rPr>
        <w:t xml:space="preserve">EUR 750 </w:t>
      </w:r>
      <w:r w:rsidR="000C5FA5" w:rsidRPr="000C5FA5">
        <w:rPr>
          <w:rFonts w:ascii="Times New Roman" w:hAnsi="Times New Roman" w:cs="Times New Roman"/>
          <w:sz w:val="24"/>
          <w:szCs w:val="24"/>
          <w:lang w:val="en-PH"/>
        </w:rPr>
        <w:t xml:space="preserve">billion </w:t>
      </w:r>
      <w:r w:rsidR="0038712D">
        <w:rPr>
          <w:rFonts w:ascii="Times New Roman" w:hAnsi="Times New Roman" w:cs="Times New Roman"/>
          <w:sz w:val="24"/>
          <w:szCs w:val="24"/>
          <w:lang w:val="en-PH"/>
        </w:rPr>
        <w:t>r</w:t>
      </w:r>
      <w:r w:rsidR="000C5FA5" w:rsidRPr="000C5FA5">
        <w:rPr>
          <w:rFonts w:ascii="Times New Roman" w:hAnsi="Times New Roman" w:cs="Times New Roman"/>
          <w:sz w:val="24"/>
          <w:szCs w:val="24"/>
          <w:lang w:val="en-PH"/>
        </w:rPr>
        <w:t>ecovery fund</w:t>
      </w:r>
      <w:r>
        <w:rPr>
          <w:rFonts w:ascii="Times New Roman" w:hAnsi="Times New Roman" w:cs="Times New Roman"/>
          <w:sz w:val="24"/>
          <w:szCs w:val="24"/>
          <w:lang w:val="en-PH"/>
        </w:rPr>
        <w:t xml:space="preserve"> called </w:t>
      </w:r>
      <w:r w:rsidRPr="003A199B">
        <w:rPr>
          <w:rFonts w:ascii="Times New Roman" w:hAnsi="Times New Roman" w:cs="Times New Roman"/>
          <w:i/>
          <w:sz w:val="24"/>
          <w:szCs w:val="24"/>
          <w:lang w:val="en-PH"/>
        </w:rPr>
        <w:t>New Generation EU</w:t>
      </w:r>
      <w:r>
        <w:rPr>
          <w:rFonts w:ascii="Times New Roman" w:hAnsi="Times New Roman" w:cs="Times New Roman"/>
          <w:i/>
          <w:sz w:val="24"/>
          <w:szCs w:val="24"/>
          <w:lang w:val="en-PH"/>
        </w:rPr>
        <w:t xml:space="preserve"> </w:t>
      </w:r>
      <w:r>
        <w:rPr>
          <w:rFonts w:ascii="Times New Roman" w:hAnsi="Times New Roman" w:cs="Times New Roman"/>
          <w:sz w:val="24"/>
          <w:szCs w:val="24"/>
          <w:lang w:val="en-PH"/>
        </w:rPr>
        <w:t>(NGEU)</w:t>
      </w:r>
      <w:r w:rsidR="0038712D">
        <w:rPr>
          <w:rFonts w:ascii="Times New Roman" w:hAnsi="Times New Roman" w:cs="Times New Roman"/>
          <w:sz w:val="24"/>
          <w:szCs w:val="24"/>
          <w:lang w:val="en-PH"/>
        </w:rPr>
        <w:t>. D</w:t>
      </w:r>
      <w:r w:rsidR="000C5FA5" w:rsidRPr="000C5FA5">
        <w:rPr>
          <w:rFonts w:ascii="Times New Roman" w:hAnsi="Times New Roman" w:cs="Times New Roman"/>
          <w:sz w:val="24"/>
          <w:szCs w:val="24"/>
          <w:lang w:val="en-PH"/>
        </w:rPr>
        <w:t xml:space="preserve">efined percentages of the Recovery and Resilience </w:t>
      </w:r>
      <w:r w:rsidR="000C5FA5" w:rsidRPr="00A81B38">
        <w:rPr>
          <w:rFonts w:ascii="Times New Roman" w:hAnsi="Times New Roman" w:cs="Times New Roman"/>
          <w:sz w:val="24"/>
          <w:szCs w:val="24"/>
          <w:lang w:val="en-PH"/>
        </w:rPr>
        <w:t xml:space="preserve">Facility, the key </w:t>
      </w:r>
      <w:r>
        <w:rPr>
          <w:rFonts w:ascii="Times New Roman" w:hAnsi="Times New Roman" w:cs="Times New Roman"/>
          <w:sz w:val="24"/>
          <w:szCs w:val="24"/>
          <w:lang w:val="en-PH"/>
        </w:rPr>
        <w:t xml:space="preserve">and the largest component </w:t>
      </w:r>
      <w:r w:rsidR="000C5FA5" w:rsidRPr="00A81B38">
        <w:rPr>
          <w:rFonts w:ascii="Times New Roman" w:hAnsi="Times New Roman" w:cs="Times New Roman"/>
          <w:sz w:val="24"/>
          <w:szCs w:val="24"/>
          <w:lang w:val="en-PH"/>
        </w:rPr>
        <w:t xml:space="preserve">of </w:t>
      </w:r>
      <w:r>
        <w:rPr>
          <w:rFonts w:ascii="Times New Roman" w:hAnsi="Times New Roman" w:cs="Times New Roman"/>
          <w:sz w:val="24"/>
          <w:szCs w:val="24"/>
          <w:lang w:val="en-PH"/>
        </w:rPr>
        <w:t xml:space="preserve">the </w:t>
      </w:r>
      <w:r w:rsidR="000C5FA5" w:rsidRPr="00A81B38">
        <w:rPr>
          <w:rFonts w:ascii="Times New Roman" w:hAnsi="Times New Roman" w:cs="Times New Roman"/>
          <w:sz w:val="24"/>
          <w:szCs w:val="24"/>
          <w:lang w:val="en-PH"/>
        </w:rPr>
        <w:t>NGEU, are to be used for investment in initiatives that will advance Europe's move to climate</w:t>
      </w:r>
      <w:r w:rsidR="00807AFE">
        <w:rPr>
          <w:rFonts w:ascii="Times New Roman" w:hAnsi="Times New Roman" w:cs="Times New Roman"/>
          <w:sz w:val="24"/>
          <w:szCs w:val="24"/>
          <w:lang w:val="en-PH"/>
        </w:rPr>
        <w:t xml:space="preserve"> </w:t>
      </w:r>
      <w:r w:rsidR="000C5FA5" w:rsidRPr="00A81B38">
        <w:rPr>
          <w:rFonts w:ascii="Times New Roman" w:hAnsi="Times New Roman" w:cs="Times New Roman"/>
          <w:sz w:val="24"/>
          <w:szCs w:val="24"/>
          <w:lang w:val="en-PH"/>
        </w:rPr>
        <w:t xml:space="preserve">neutrality as a continent by 2050 </w:t>
      </w:r>
      <w:r w:rsidR="0038712D" w:rsidRPr="00A81B38">
        <w:rPr>
          <w:rFonts w:ascii="Times New Roman" w:hAnsi="Times New Roman" w:cs="Times New Roman"/>
          <w:sz w:val="24"/>
          <w:szCs w:val="24"/>
          <w:lang w:val="en-PH"/>
        </w:rPr>
        <w:t xml:space="preserve">(at least 37 per cent of the total) </w:t>
      </w:r>
      <w:r w:rsidR="000C5FA5" w:rsidRPr="00A81B38">
        <w:rPr>
          <w:rFonts w:ascii="Times New Roman" w:hAnsi="Times New Roman" w:cs="Times New Roman"/>
          <w:sz w:val="24"/>
          <w:szCs w:val="24"/>
          <w:lang w:val="en-PH"/>
        </w:rPr>
        <w:t>and in digital modernisation of various kinds (</w:t>
      </w:r>
      <w:r w:rsidR="0038712D" w:rsidRPr="00A81B38">
        <w:rPr>
          <w:rFonts w:ascii="Times New Roman" w:hAnsi="Times New Roman" w:cs="Times New Roman"/>
          <w:sz w:val="24"/>
          <w:szCs w:val="24"/>
          <w:lang w:val="en-PH"/>
        </w:rPr>
        <w:t xml:space="preserve">at least </w:t>
      </w:r>
      <w:r w:rsidR="000C5FA5" w:rsidRPr="00A81B38">
        <w:rPr>
          <w:rFonts w:ascii="Times New Roman" w:hAnsi="Times New Roman" w:cs="Times New Roman"/>
          <w:sz w:val="24"/>
          <w:szCs w:val="24"/>
          <w:lang w:val="en-PH"/>
        </w:rPr>
        <w:t xml:space="preserve">20 per cent </w:t>
      </w:r>
      <w:r w:rsidR="0038712D" w:rsidRPr="00A81B38">
        <w:rPr>
          <w:rFonts w:ascii="Times New Roman" w:hAnsi="Times New Roman" w:cs="Times New Roman"/>
          <w:sz w:val="24"/>
          <w:szCs w:val="24"/>
          <w:lang w:val="en-PH"/>
        </w:rPr>
        <w:t>of the total)</w:t>
      </w:r>
      <w:r w:rsidR="00757C1D" w:rsidRPr="00A81B38">
        <w:rPr>
          <w:rFonts w:ascii="Times New Roman" w:hAnsi="Times New Roman" w:cs="Times New Roman"/>
          <w:sz w:val="24"/>
          <w:szCs w:val="24"/>
          <w:lang w:val="en-PH"/>
        </w:rPr>
        <w:t>.</w:t>
      </w:r>
    </w:p>
    <w:p w:rsidR="00757C1D" w:rsidRPr="00A81B38" w:rsidRDefault="00757C1D" w:rsidP="0063683F">
      <w:pPr>
        <w:autoSpaceDE w:val="0"/>
        <w:autoSpaceDN w:val="0"/>
        <w:adjustRightInd w:val="0"/>
        <w:spacing w:after="0" w:line="240" w:lineRule="atLeast"/>
        <w:jc w:val="both"/>
        <w:rPr>
          <w:rFonts w:ascii="Times New Roman" w:hAnsi="Times New Roman" w:cs="Times New Roman"/>
          <w:sz w:val="24"/>
          <w:szCs w:val="24"/>
          <w:lang w:val="en-PH"/>
        </w:rPr>
      </w:pPr>
    </w:p>
    <w:p w:rsidR="007019A1" w:rsidRPr="00A81B38" w:rsidRDefault="007019A1" w:rsidP="0063683F">
      <w:pPr>
        <w:autoSpaceDE w:val="0"/>
        <w:autoSpaceDN w:val="0"/>
        <w:adjustRightInd w:val="0"/>
        <w:spacing w:after="0" w:line="240" w:lineRule="atLeast"/>
        <w:jc w:val="both"/>
        <w:rPr>
          <w:rFonts w:ascii="Times New Roman" w:hAnsi="Times New Roman" w:cs="Times New Roman"/>
          <w:sz w:val="24"/>
          <w:szCs w:val="24"/>
          <w:lang w:val="en-GB"/>
        </w:rPr>
      </w:pPr>
      <w:r w:rsidRPr="00A81B38">
        <w:rPr>
          <w:rFonts w:ascii="Times New Roman" w:hAnsi="Times New Roman" w:cs="Times New Roman"/>
          <w:sz w:val="24"/>
          <w:szCs w:val="24"/>
          <w:lang w:val="en-GB"/>
        </w:rPr>
        <w:t xml:space="preserve">In the continuation of this </w:t>
      </w:r>
      <w:r w:rsidRPr="00C87BCE">
        <w:rPr>
          <w:rFonts w:ascii="Times New Roman" w:hAnsi="Times New Roman" w:cs="Times New Roman"/>
          <w:i/>
          <w:sz w:val="24"/>
          <w:szCs w:val="24"/>
          <w:lang w:val="en-GB"/>
        </w:rPr>
        <w:t>sub-chapter</w:t>
      </w:r>
      <w:r w:rsidRPr="00A81B38">
        <w:rPr>
          <w:rFonts w:ascii="Times New Roman" w:hAnsi="Times New Roman" w:cs="Times New Roman"/>
          <w:sz w:val="24"/>
          <w:szCs w:val="24"/>
          <w:lang w:val="en-GB"/>
        </w:rPr>
        <w:t xml:space="preserve">, major features the two top priorities of the </w:t>
      </w:r>
      <w:r w:rsidR="00DC0364">
        <w:rPr>
          <w:rFonts w:ascii="Times New Roman" w:hAnsi="Times New Roman" w:cs="Times New Roman"/>
          <w:sz w:val="24"/>
          <w:szCs w:val="24"/>
          <w:lang w:val="en-GB"/>
        </w:rPr>
        <w:t>E</w:t>
      </w:r>
      <w:r w:rsidRPr="00A81B38">
        <w:rPr>
          <w:rFonts w:ascii="Times New Roman" w:hAnsi="Times New Roman" w:cs="Times New Roman"/>
          <w:sz w:val="24"/>
          <w:szCs w:val="24"/>
          <w:lang w:val="en-GB"/>
        </w:rPr>
        <w:t xml:space="preserve">U for the forthcoming period, i.e. the EGD and </w:t>
      </w:r>
      <w:r w:rsidR="00C87BCE">
        <w:rPr>
          <w:rFonts w:ascii="Times New Roman" w:hAnsi="Times New Roman" w:cs="Times New Roman"/>
          <w:sz w:val="24"/>
          <w:szCs w:val="24"/>
          <w:lang w:val="en-GB"/>
        </w:rPr>
        <w:t xml:space="preserve">the </w:t>
      </w:r>
      <w:r w:rsidRPr="00A81B38">
        <w:rPr>
          <w:rFonts w:ascii="Times New Roman" w:hAnsi="Times New Roman" w:cs="Times New Roman"/>
          <w:sz w:val="24"/>
          <w:szCs w:val="24"/>
          <w:lang w:val="en-GB"/>
        </w:rPr>
        <w:t xml:space="preserve">EDA, are briefly outlined. </w:t>
      </w:r>
    </w:p>
    <w:p w:rsidR="007019A1" w:rsidRPr="00A81B38" w:rsidRDefault="007019A1" w:rsidP="0063683F">
      <w:pPr>
        <w:autoSpaceDE w:val="0"/>
        <w:autoSpaceDN w:val="0"/>
        <w:adjustRightInd w:val="0"/>
        <w:spacing w:after="0" w:line="240" w:lineRule="atLeast"/>
        <w:jc w:val="both"/>
        <w:rPr>
          <w:rFonts w:ascii="Times New Roman" w:hAnsi="Times New Roman" w:cs="Times New Roman"/>
          <w:sz w:val="24"/>
          <w:szCs w:val="24"/>
          <w:lang w:val="en-GB"/>
        </w:rPr>
      </w:pPr>
    </w:p>
    <w:p w:rsidR="00A81B38" w:rsidRPr="00A81B38" w:rsidRDefault="007019A1" w:rsidP="0063683F">
      <w:pPr>
        <w:autoSpaceDE w:val="0"/>
        <w:autoSpaceDN w:val="0"/>
        <w:adjustRightInd w:val="0"/>
        <w:spacing w:after="0" w:line="240" w:lineRule="atLeast"/>
        <w:jc w:val="both"/>
        <w:rPr>
          <w:rFonts w:ascii="Times New Roman" w:hAnsi="Times New Roman" w:cs="Times New Roman"/>
          <w:sz w:val="24"/>
          <w:szCs w:val="24"/>
          <w:lang w:val="en-GB"/>
        </w:rPr>
      </w:pPr>
      <w:r w:rsidRPr="00A81B38">
        <w:rPr>
          <w:rFonts w:ascii="Times New Roman" w:eastAsia="UtopiaStd-Regular" w:hAnsi="Times New Roman" w:cs="Times New Roman"/>
          <w:sz w:val="24"/>
          <w:szCs w:val="24"/>
          <w:lang w:val="en-GB"/>
        </w:rPr>
        <w:t xml:space="preserve">The </w:t>
      </w:r>
      <w:r w:rsidR="00A81B38" w:rsidRPr="00A81B38">
        <w:rPr>
          <w:rFonts w:ascii="Times New Roman" w:eastAsia="UtopiaStd-Regular" w:hAnsi="Times New Roman" w:cs="Times New Roman"/>
          <w:sz w:val="24"/>
          <w:szCs w:val="24"/>
          <w:lang w:val="en-GB"/>
        </w:rPr>
        <w:t xml:space="preserve">EGD </w:t>
      </w:r>
      <w:r w:rsidRPr="00A81B38">
        <w:rPr>
          <w:rFonts w:ascii="Times New Roman" w:eastAsia="UtopiaStd-Regular" w:hAnsi="Times New Roman" w:cs="Times New Roman"/>
          <w:sz w:val="24"/>
          <w:szCs w:val="24"/>
          <w:lang w:val="en-GB"/>
        </w:rPr>
        <w:t xml:space="preserve">is a comprehensive roadmap aimed </w:t>
      </w:r>
      <w:r w:rsidRPr="00A81B38">
        <w:rPr>
          <w:rFonts w:ascii="Times New Roman" w:hAnsi="Times New Roman" w:cs="Times New Roman"/>
          <w:sz w:val="24"/>
          <w:szCs w:val="24"/>
          <w:lang w:val="en-GB"/>
        </w:rPr>
        <w:t>to turn the EU into a sustainable, carbon-neutral economy by 2050</w:t>
      </w:r>
      <w:r w:rsidR="00A12A96">
        <w:rPr>
          <w:rStyle w:val="FootnoteReference"/>
          <w:rFonts w:ascii="Times New Roman" w:hAnsi="Times New Roman" w:cs="Times New Roman"/>
          <w:sz w:val="24"/>
          <w:szCs w:val="24"/>
          <w:lang w:val="en-GB"/>
        </w:rPr>
        <w:footnoteReference w:id="1"/>
      </w:r>
      <w:r w:rsidRPr="00A81B38">
        <w:rPr>
          <w:rFonts w:ascii="Times New Roman" w:hAnsi="Times New Roman" w:cs="Times New Roman"/>
          <w:sz w:val="24"/>
          <w:szCs w:val="24"/>
          <w:lang w:val="en-GB"/>
        </w:rPr>
        <w:t>.</w:t>
      </w:r>
      <w:r w:rsidR="00A81B38" w:rsidRPr="00A81B38">
        <w:rPr>
          <w:rFonts w:ascii="Times New Roman" w:hAnsi="Times New Roman" w:cs="Times New Roman"/>
          <w:sz w:val="24"/>
          <w:szCs w:val="24"/>
          <w:lang w:val="en-GB"/>
        </w:rPr>
        <w:t xml:space="preserve"> The roadmap c</w:t>
      </w:r>
      <w:r w:rsidR="009775D1" w:rsidRPr="00A81B38">
        <w:rPr>
          <w:rFonts w:ascii="Times New Roman" w:hAnsi="Times New Roman" w:cs="Times New Roman"/>
          <w:sz w:val="24"/>
          <w:szCs w:val="24"/>
          <w:lang w:val="en-GB"/>
        </w:rPr>
        <w:t xml:space="preserve">overs practically all sectors and seeks to transform them with a combination of funding measures and regulatory reforms aiming to deliver ambitious climate targets from 2030 to 2050. The key pillars </w:t>
      </w:r>
      <w:r w:rsidR="00A81B38" w:rsidRPr="00A81B38">
        <w:rPr>
          <w:rFonts w:ascii="Times New Roman" w:hAnsi="Times New Roman" w:cs="Times New Roman"/>
          <w:sz w:val="24"/>
          <w:szCs w:val="24"/>
          <w:lang w:val="en-GB"/>
        </w:rPr>
        <w:t xml:space="preserve">of the EDG </w:t>
      </w:r>
      <w:r w:rsidR="009775D1" w:rsidRPr="00A81B38">
        <w:rPr>
          <w:rFonts w:ascii="Times New Roman" w:hAnsi="Times New Roman" w:cs="Times New Roman"/>
          <w:sz w:val="24"/>
          <w:szCs w:val="24"/>
          <w:lang w:val="en-GB"/>
        </w:rPr>
        <w:t xml:space="preserve">are </w:t>
      </w:r>
      <w:r w:rsidR="00A81B38" w:rsidRPr="00A81B38">
        <w:rPr>
          <w:rFonts w:ascii="Times New Roman" w:hAnsi="Times New Roman" w:cs="Times New Roman"/>
          <w:sz w:val="24"/>
          <w:szCs w:val="24"/>
          <w:lang w:val="en-GB"/>
        </w:rPr>
        <w:t>as follows</w:t>
      </w:r>
      <w:r w:rsidR="00C87977">
        <w:rPr>
          <w:rStyle w:val="FootnoteReference"/>
          <w:rFonts w:ascii="Times New Roman" w:hAnsi="Times New Roman" w:cs="Times New Roman"/>
          <w:sz w:val="24"/>
          <w:szCs w:val="24"/>
          <w:lang w:val="en-GB"/>
        </w:rPr>
        <w:footnoteReference w:id="2"/>
      </w:r>
      <w:r w:rsidR="00A81B38" w:rsidRPr="00A81B38">
        <w:rPr>
          <w:rFonts w:ascii="Times New Roman" w:hAnsi="Times New Roman" w:cs="Times New Roman"/>
          <w:sz w:val="24"/>
          <w:szCs w:val="24"/>
          <w:lang w:val="en-GB"/>
        </w:rPr>
        <w:t xml:space="preserve">: </w:t>
      </w:r>
    </w:p>
    <w:p w:rsidR="00A81B38" w:rsidRPr="00A81B38" w:rsidRDefault="00A81B38" w:rsidP="0063683F">
      <w:pPr>
        <w:autoSpaceDE w:val="0"/>
        <w:autoSpaceDN w:val="0"/>
        <w:adjustRightInd w:val="0"/>
        <w:spacing w:after="0" w:line="240" w:lineRule="atLeast"/>
        <w:jc w:val="both"/>
        <w:rPr>
          <w:rFonts w:ascii="Times New Roman" w:hAnsi="Times New Roman" w:cs="Times New Roman"/>
          <w:sz w:val="24"/>
          <w:szCs w:val="24"/>
          <w:lang w:val="en-GB"/>
        </w:rPr>
      </w:pPr>
    </w:p>
    <w:p w:rsidR="009775D1" w:rsidRPr="00A81B38" w:rsidRDefault="009775D1"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sidRPr="00A81B38">
        <w:rPr>
          <w:rFonts w:ascii="Times New Roman" w:hAnsi="Times New Roman" w:cs="Times New Roman"/>
          <w:sz w:val="24"/>
          <w:szCs w:val="24"/>
          <w:lang w:val="en-GB"/>
        </w:rPr>
        <w:t>The first important pillar of the E</w:t>
      </w:r>
      <w:r w:rsidR="00A81B38">
        <w:rPr>
          <w:rFonts w:ascii="Times New Roman" w:hAnsi="Times New Roman" w:cs="Times New Roman"/>
          <w:sz w:val="24"/>
          <w:szCs w:val="24"/>
          <w:lang w:val="en-GB"/>
        </w:rPr>
        <w:t xml:space="preserve">GD </w:t>
      </w:r>
      <w:r w:rsidRPr="00A81B38">
        <w:rPr>
          <w:rFonts w:ascii="Times New Roman" w:hAnsi="Times New Roman" w:cs="Times New Roman"/>
          <w:sz w:val="24"/>
          <w:szCs w:val="24"/>
          <w:lang w:val="en-GB"/>
        </w:rPr>
        <w:t xml:space="preserve">is </w:t>
      </w:r>
      <w:r w:rsidRPr="00A81B38">
        <w:rPr>
          <w:rFonts w:ascii="Times New Roman" w:hAnsi="Times New Roman" w:cs="Times New Roman"/>
          <w:i/>
          <w:sz w:val="24"/>
          <w:szCs w:val="24"/>
          <w:lang w:val="en-GB"/>
        </w:rPr>
        <w:t>clean energy</w:t>
      </w:r>
      <w:r w:rsidRPr="00A81B38">
        <w:rPr>
          <w:rFonts w:ascii="Times New Roman" w:hAnsi="Times New Roman" w:cs="Times New Roman"/>
          <w:sz w:val="24"/>
          <w:szCs w:val="24"/>
          <w:lang w:val="en-GB"/>
        </w:rPr>
        <w:t xml:space="preserve">. As 75 per cent of EU's greenhouse gas emissions are currently derived from the production and consumption of energy based on fossil fuels, this pillar relates to decarbonizing the EU’s energy system, largely through transitioning power generation to renewable resources. </w:t>
      </w:r>
    </w:p>
    <w:p w:rsidR="009775D1" w:rsidRPr="00A81B38" w:rsidRDefault="009775D1"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sidRPr="00A81B38">
        <w:rPr>
          <w:rFonts w:ascii="Times New Roman" w:hAnsi="Times New Roman" w:cs="Times New Roman"/>
          <w:sz w:val="24"/>
          <w:szCs w:val="24"/>
          <w:lang w:val="en-GB"/>
        </w:rPr>
        <w:t xml:space="preserve">In order to promote </w:t>
      </w:r>
      <w:r w:rsidRPr="00A81B38">
        <w:rPr>
          <w:rFonts w:ascii="Times New Roman" w:hAnsi="Times New Roman" w:cs="Times New Roman"/>
          <w:i/>
          <w:sz w:val="24"/>
          <w:szCs w:val="24"/>
          <w:lang w:val="en-GB"/>
        </w:rPr>
        <w:t xml:space="preserve">industrial sustainability, </w:t>
      </w:r>
      <w:r w:rsidRPr="00A81B38">
        <w:rPr>
          <w:rFonts w:ascii="Times New Roman" w:hAnsi="Times New Roman" w:cs="Times New Roman"/>
          <w:sz w:val="24"/>
          <w:szCs w:val="24"/>
          <w:lang w:val="en-GB"/>
        </w:rPr>
        <w:t>the E</w:t>
      </w:r>
      <w:r w:rsidR="00A81B38">
        <w:rPr>
          <w:rFonts w:ascii="Times New Roman" w:hAnsi="Times New Roman" w:cs="Times New Roman"/>
          <w:sz w:val="24"/>
          <w:szCs w:val="24"/>
          <w:lang w:val="en-GB"/>
        </w:rPr>
        <w:t xml:space="preserve">GD </w:t>
      </w:r>
      <w:r w:rsidRPr="00A81B38">
        <w:rPr>
          <w:rFonts w:ascii="Times New Roman" w:hAnsi="Times New Roman" w:cs="Times New Roman"/>
          <w:sz w:val="24"/>
          <w:szCs w:val="24"/>
          <w:lang w:val="en-GB"/>
        </w:rPr>
        <w:t xml:space="preserve">would be aligned with a new industrial strategy to make the EU a world leader in the circular economy and clean technologies, and to decarbonise energy-intensive industries. The regions mostly affected by the low-carbon transition would be supported through a so-called just transition mechanism. </w:t>
      </w:r>
    </w:p>
    <w:p w:rsidR="009775D1" w:rsidRPr="00A81B38" w:rsidRDefault="009775D1"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sidRPr="00A81B38">
        <w:rPr>
          <w:rFonts w:ascii="Times New Roman" w:hAnsi="Times New Roman" w:cs="Times New Roman"/>
          <w:sz w:val="24"/>
          <w:szCs w:val="24"/>
          <w:lang w:val="en-GB"/>
        </w:rPr>
        <w:t>The next area of focus within the E</w:t>
      </w:r>
      <w:r w:rsidR="00A81B38">
        <w:rPr>
          <w:rFonts w:ascii="Times New Roman" w:hAnsi="Times New Roman" w:cs="Times New Roman"/>
          <w:sz w:val="24"/>
          <w:szCs w:val="24"/>
          <w:lang w:val="en-GB"/>
        </w:rPr>
        <w:t xml:space="preserve">GD </w:t>
      </w:r>
      <w:r w:rsidRPr="00A81B38">
        <w:rPr>
          <w:rFonts w:ascii="Times New Roman" w:hAnsi="Times New Roman" w:cs="Times New Roman"/>
          <w:sz w:val="24"/>
          <w:szCs w:val="24"/>
          <w:lang w:val="en-GB"/>
        </w:rPr>
        <w:t xml:space="preserve">relates to the </w:t>
      </w:r>
      <w:r w:rsidRPr="00A81B38">
        <w:rPr>
          <w:rFonts w:ascii="Times New Roman" w:hAnsi="Times New Roman" w:cs="Times New Roman"/>
          <w:i/>
          <w:sz w:val="24"/>
          <w:szCs w:val="24"/>
          <w:lang w:val="en-GB"/>
        </w:rPr>
        <w:t xml:space="preserve">construction of buildings </w:t>
      </w:r>
      <w:r w:rsidRPr="00A81B38">
        <w:rPr>
          <w:rFonts w:ascii="Times New Roman" w:hAnsi="Times New Roman" w:cs="Times New Roman"/>
          <w:sz w:val="24"/>
          <w:szCs w:val="24"/>
          <w:lang w:val="en-GB"/>
        </w:rPr>
        <w:t xml:space="preserve">as they are significant consumers of energy and mineral resources. The goal within this pillar is to initiate renovation of public and private buildings to improve their energy efficiency, which also contributes towards reducing energy poverty. The Commission proposes to achieve this by rigorously enforcing legislation relating to the energy performance of buildings. </w:t>
      </w:r>
    </w:p>
    <w:p w:rsidR="009775D1" w:rsidRPr="00A81B38" w:rsidRDefault="009775D1"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sidRPr="00A81B38">
        <w:rPr>
          <w:rFonts w:ascii="Times New Roman" w:hAnsi="Times New Roman" w:cs="Times New Roman"/>
          <w:sz w:val="24"/>
          <w:szCs w:val="24"/>
          <w:lang w:val="en-GB"/>
        </w:rPr>
        <w:t>Another important pillar of the E</w:t>
      </w:r>
      <w:r w:rsidR="00A81B38">
        <w:rPr>
          <w:rFonts w:ascii="Times New Roman" w:hAnsi="Times New Roman" w:cs="Times New Roman"/>
          <w:sz w:val="24"/>
          <w:szCs w:val="24"/>
          <w:lang w:val="en-GB"/>
        </w:rPr>
        <w:t xml:space="preserve">GD </w:t>
      </w:r>
      <w:r w:rsidRPr="00A81B38">
        <w:rPr>
          <w:rFonts w:ascii="Times New Roman" w:hAnsi="Times New Roman" w:cs="Times New Roman"/>
          <w:sz w:val="24"/>
          <w:szCs w:val="24"/>
          <w:lang w:val="en-GB"/>
        </w:rPr>
        <w:t xml:space="preserve">Deal relates to the transport sector and more specifically to </w:t>
      </w:r>
      <w:r w:rsidRPr="00A81B38">
        <w:rPr>
          <w:rFonts w:ascii="Times New Roman" w:hAnsi="Times New Roman" w:cs="Times New Roman"/>
          <w:i/>
          <w:sz w:val="24"/>
          <w:szCs w:val="24"/>
          <w:lang w:val="en-GB"/>
        </w:rPr>
        <w:t xml:space="preserve">sustainable </w:t>
      </w:r>
      <w:r w:rsidRPr="00A81B38">
        <w:rPr>
          <w:rFonts w:ascii="Times New Roman" w:hAnsi="Times New Roman" w:cs="Times New Roman"/>
          <w:sz w:val="24"/>
          <w:szCs w:val="24"/>
          <w:lang w:val="en-GB"/>
        </w:rPr>
        <w:t xml:space="preserve">mobility, targeting substantial improvements in energy efficiency, sustainable alternative fuels and propulsion technologies, multimodal transport (including increasing use of rail transport), digitalization of mobility and traffic management, price reductions and more stringent requirements for internal combustion engine vehicles. </w:t>
      </w:r>
    </w:p>
    <w:p w:rsidR="009775D1" w:rsidRPr="00A81B38" w:rsidRDefault="009775D1"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GB"/>
        </w:rPr>
      </w:pPr>
      <w:r w:rsidRPr="00A81B38">
        <w:rPr>
          <w:rFonts w:ascii="Times New Roman" w:hAnsi="Times New Roman" w:cs="Times New Roman"/>
          <w:sz w:val="24"/>
          <w:szCs w:val="24"/>
          <w:lang w:val="en-GB"/>
        </w:rPr>
        <w:t xml:space="preserve">With respect to </w:t>
      </w:r>
      <w:r w:rsidRPr="00A81B38">
        <w:rPr>
          <w:rFonts w:ascii="Times New Roman" w:hAnsi="Times New Roman" w:cs="Times New Roman"/>
          <w:i/>
          <w:sz w:val="24"/>
          <w:szCs w:val="24"/>
          <w:lang w:val="en-GB"/>
        </w:rPr>
        <w:t>ecosystems and biodiversity</w:t>
      </w:r>
      <w:r w:rsidRPr="00A81B38">
        <w:rPr>
          <w:rFonts w:ascii="Times New Roman" w:hAnsi="Times New Roman" w:cs="Times New Roman"/>
          <w:sz w:val="24"/>
          <w:szCs w:val="24"/>
          <w:lang w:val="en-GB"/>
        </w:rPr>
        <w:t>, the E</w:t>
      </w:r>
      <w:r w:rsidR="00A81B38">
        <w:rPr>
          <w:rFonts w:ascii="Times New Roman" w:hAnsi="Times New Roman" w:cs="Times New Roman"/>
          <w:sz w:val="24"/>
          <w:szCs w:val="24"/>
          <w:lang w:val="en-GB"/>
        </w:rPr>
        <w:t xml:space="preserve">GD </w:t>
      </w:r>
      <w:r w:rsidRPr="00A81B38">
        <w:rPr>
          <w:rFonts w:ascii="Times New Roman" w:hAnsi="Times New Roman" w:cs="Times New Roman"/>
          <w:sz w:val="24"/>
          <w:szCs w:val="24"/>
          <w:lang w:val="en-GB"/>
        </w:rPr>
        <w:t xml:space="preserve">seeks to revise environmental objectives for biodiversity-rich land and sea areas, increasing cross-border cooperation and restoring damaged areas. </w:t>
      </w:r>
    </w:p>
    <w:p w:rsidR="009775D1" w:rsidRPr="00A81B38" w:rsidRDefault="009775D1" w:rsidP="0063683F">
      <w:pPr>
        <w:pStyle w:val="ListParagraph"/>
        <w:numPr>
          <w:ilvl w:val="0"/>
          <w:numId w:val="9"/>
        </w:numPr>
        <w:autoSpaceDE w:val="0"/>
        <w:autoSpaceDN w:val="0"/>
        <w:adjustRightInd w:val="0"/>
        <w:spacing w:after="0" w:line="240" w:lineRule="atLeast"/>
        <w:ind w:left="426"/>
        <w:jc w:val="both"/>
        <w:rPr>
          <w:rFonts w:ascii="Times New Roman" w:hAnsi="Times New Roman" w:cs="Times New Roman"/>
          <w:sz w:val="24"/>
          <w:szCs w:val="24"/>
          <w:lang w:val="en-ZA"/>
        </w:rPr>
      </w:pPr>
      <w:r w:rsidRPr="00A81B38">
        <w:rPr>
          <w:rFonts w:ascii="Times New Roman" w:hAnsi="Times New Roman" w:cs="Times New Roman"/>
          <w:sz w:val="24"/>
          <w:szCs w:val="24"/>
          <w:lang w:val="en-GB"/>
        </w:rPr>
        <w:t>The E</w:t>
      </w:r>
      <w:r w:rsidR="00A81B38">
        <w:rPr>
          <w:rFonts w:ascii="Times New Roman" w:hAnsi="Times New Roman" w:cs="Times New Roman"/>
          <w:sz w:val="24"/>
          <w:szCs w:val="24"/>
          <w:lang w:val="en-GB"/>
        </w:rPr>
        <w:t xml:space="preserve">GD </w:t>
      </w:r>
      <w:r w:rsidRPr="00A81B38">
        <w:rPr>
          <w:rFonts w:ascii="Times New Roman" w:hAnsi="Times New Roman" w:cs="Times New Roman"/>
          <w:sz w:val="24"/>
          <w:szCs w:val="24"/>
          <w:lang w:val="en-GB"/>
        </w:rPr>
        <w:t xml:space="preserve">also includes targets for making European agriculture the global standard in sustainability. This so-called </w:t>
      </w:r>
      <w:r w:rsidRPr="00A81B38">
        <w:rPr>
          <w:rFonts w:ascii="Times New Roman" w:hAnsi="Times New Roman" w:cs="Times New Roman"/>
          <w:i/>
          <w:sz w:val="24"/>
          <w:szCs w:val="24"/>
          <w:lang w:val="en-GB"/>
        </w:rPr>
        <w:t>»from farm to fork«</w:t>
      </w:r>
      <w:r w:rsidRPr="00A81B38">
        <w:rPr>
          <w:rFonts w:ascii="Times New Roman" w:hAnsi="Times New Roman" w:cs="Times New Roman"/>
          <w:sz w:val="24"/>
          <w:szCs w:val="24"/>
          <w:lang w:val="en-PH"/>
        </w:rPr>
        <w:t xml:space="preserve"> pillar addresses production, food waste, food policy and food consumption. </w:t>
      </w:r>
    </w:p>
    <w:p w:rsidR="00757C1D" w:rsidRPr="009775D1" w:rsidRDefault="00757C1D" w:rsidP="0063683F">
      <w:pPr>
        <w:autoSpaceDE w:val="0"/>
        <w:autoSpaceDN w:val="0"/>
        <w:adjustRightInd w:val="0"/>
        <w:spacing w:after="0" w:line="240" w:lineRule="atLeast"/>
        <w:jc w:val="both"/>
        <w:rPr>
          <w:rFonts w:ascii="Times New Roman" w:hAnsi="Times New Roman" w:cs="Times New Roman"/>
          <w:sz w:val="24"/>
          <w:szCs w:val="24"/>
          <w:lang w:val="en-ZA"/>
        </w:rPr>
      </w:pPr>
    </w:p>
    <w:p w:rsidR="00207715" w:rsidRDefault="004F1B94" w:rsidP="0063683F">
      <w:pPr>
        <w:autoSpaceDE w:val="0"/>
        <w:autoSpaceDN w:val="0"/>
        <w:adjustRightInd w:val="0"/>
        <w:spacing w:after="0" w:line="240" w:lineRule="atLeast"/>
        <w:jc w:val="both"/>
        <w:rPr>
          <w:rFonts w:ascii="Times New Roman" w:hAnsi="Times New Roman" w:cs="Times New Roman"/>
          <w:sz w:val="24"/>
          <w:szCs w:val="24"/>
          <w:lang w:val="en-PH"/>
        </w:rPr>
      </w:pPr>
      <w:r w:rsidRPr="004F1B94">
        <w:rPr>
          <w:rFonts w:ascii="Times New Roman" w:hAnsi="Times New Roman" w:cs="Times New Roman"/>
          <w:sz w:val="24"/>
          <w:szCs w:val="24"/>
          <w:lang w:val="en-PH"/>
        </w:rPr>
        <w:t xml:space="preserve">As far as the EDA is concerned, the EU outlined </w:t>
      </w:r>
      <w:r w:rsidR="001A0394">
        <w:rPr>
          <w:rFonts w:ascii="Times New Roman" w:hAnsi="Times New Roman" w:cs="Times New Roman"/>
          <w:sz w:val="24"/>
          <w:szCs w:val="24"/>
          <w:lang w:val="en-PH"/>
        </w:rPr>
        <w:t xml:space="preserve">in February 2020 </w:t>
      </w:r>
      <w:r w:rsidRPr="004F1B94">
        <w:rPr>
          <w:rFonts w:ascii="Times New Roman" w:hAnsi="Times New Roman" w:cs="Times New Roman"/>
          <w:sz w:val="24"/>
          <w:szCs w:val="24"/>
          <w:lang w:val="en-PH"/>
        </w:rPr>
        <w:t xml:space="preserve">its overarching approach to shaping Europe's digital future, basing </w:t>
      </w:r>
      <w:r>
        <w:rPr>
          <w:rFonts w:ascii="Times New Roman" w:hAnsi="Times New Roman" w:cs="Times New Roman"/>
          <w:sz w:val="24"/>
          <w:szCs w:val="24"/>
          <w:lang w:val="en-PH"/>
        </w:rPr>
        <w:t xml:space="preserve">it on </w:t>
      </w:r>
      <w:r w:rsidRPr="004F1B94">
        <w:rPr>
          <w:rFonts w:ascii="Times New Roman" w:hAnsi="Times New Roman" w:cs="Times New Roman"/>
          <w:sz w:val="24"/>
          <w:szCs w:val="24"/>
          <w:lang w:val="en-PH"/>
        </w:rPr>
        <w:t xml:space="preserve">three key pillars: (i) </w:t>
      </w:r>
      <w:r w:rsidRPr="00C87977">
        <w:rPr>
          <w:rFonts w:ascii="Times New Roman" w:hAnsi="Times New Roman" w:cs="Times New Roman"/>
          <w:i/>
          <w:sz w:val="24"/>
          <w:szCs w:val="24"/>
          <w:lang w:val="en-PH"/>
        </w:rPr>
        <w:t>technology that works for people</w:t>
      </w:r>
      <w:r w:rsidRPr="004F1B94">
        <w:rPr>
          <w:rFonts w:ascii="Times New Roman" w:hAnsi="Times New Roman" w:cs="Times New Roman"/>
          <w:sz w:val="24"/>
          <w:szCs w:val="24"/>
          <w:lang w:val="en-PH"/>
        </w:rPr>
        <w:t xml:space="preserve">, (ii) </w:t>
      </w:r>
      <w:r w:rsidRPr="00C87977">
        <w:rPr>
          <w:rFonts w:ascii="Times New Roman" w:hAnsi="Times New Roman" w:cs="Times New Roman"/>
          <w:i/>
          <w:sz w:val="24"/>
          <w:szCs w:val="24"/>
          <w:lang w:val="en-PH"/>
        </w:rPr>
        <w:t>a fair and competitive economy</w:t>
      </w:r>
      <w:r w:rsidRPr="004F1B94">
        <w:rPr>
          <w:rFonts w:ascii="Times New Roman" w:hAnsi="Times New Roman" w:cs="Times New Roman"/>
          <w:sz w:val="24"/>
          <w:szCs w:val="24"/>
          <w:lang w:val="en-PH"/>
        </w:rPr>
        <w:t xml:space="preserve">, and (iii) </w:t>
      </w:r>
      <w:r w:rsidRPr="00C87977">
        <w:rPr>
          <w:rFonts w:ascii="Times New Roman" w:hAnsi="Times New Roman" w:cs="Times New Roman"/>
          <w:i/>
          <w:sz w:val="24"/>
          <w:szCs w:val="24"/>
          <w:lang w:val="en-PH"/>
        </w:rPr>
        <w:t xml:space="preserve">an open, democratic and sustainable </w:t>
      </w:r>
      <w:r w:rsidRPr="00C87977">
        <w:rPr>
          <w:rFonts w:ascii="Times New Roman" w:hAnsi="Times New Roman" w:cs="Times New Roman"/>
          <w:i/>
          <w:sz w:val="24"/>
          <w:szCs w:val="24"/>
          <w:lang w:val="en-PH"/>
        </w:rPr>
        <w:lastRenderedPageBreak/>
        <w:t>society</w:t>
      </w:r>
      <w:r w:rsidRPr="004F1B94">
        <w:rPr>
          <w:rFonts w:ascii="Times New Roman" w:hAnsi="Times New Roman" w:cs="Times New Roman"/>
          <w:sz w:val="24"/>
          <w:szCs w:val="24"/>
          <w:lang w:val="en-PH"/>
        </w:rPr>
        <w:t xml:space="preserve">. </w:t>
      </w:r>
      <w:r>
        <w:rPr>
          <w:rFonts w:ascii="Times New Roman" w:hAnsi="Times New Roman" w:cs="Times New Roman"/>
          <w:sz w:val="24"/>
          <w:szCs w:val="24"/>
          <w:lang w:val="en-PH"/>
        </w:rPr>
        <w:t xml:space="preserve">Simultaneously, </w:t>
      </w:r>
      <w:r w:rsidRPr="004F1B94">
        <w:rPr>
          <w:rFonts w:ascii="Times New Roman" w:hAnsi="Times New Roman" w:cs="Times New Roman"/>
          <w:sz w:val="24"/>
          <w:szCs w:val="24"/>
          <w:lang w:val="en-PH"/>
        </w:rPr>
        <w:t>the European Commission launched initiatives under the first two pillars</w:t>
      </w:r>
      <w:r w:rsidR="00C24309">
        <w:rPr>
          <w:rStyle w:val="FootnoteReference"/>
          <w:rFonts w:ascii="Times New Roman" w:hAnsi="Times New Roman" w:cs="Times New Roman"/>
          <w:sz w:val="24"/>
          <w:szCs w:val="24"/>
          <w:lang w:val="en-PH"/>
        </w:rPr>
        <w:footnoteReference w:id="3"/>
      </w:r>
      <w:r w:rsidR="00C24309">
        <w:rPr>
          <w:rFonts w:ascii="Times New Roman" w:hAnsi="Times New Roman" w:cs="Times New Roman"/>
          <w:sz w:val="24"/>
          <w:szCs w:val="24"/>
          <w:lang w:val="en-PH"/>
        </w:rPr>
        <w:t xml:space="preserve">: </w:t>
      </w:r>
      <w:r w:rsidR="00207715">
        <w:rPr>
          <w:rFonts w:ascii="Times New Roman" w:hAnsi="Times New Roman" w:cs="Times New Roman"/>
          <w:sz w:val="24"/>
          <w:szCs w:val="24"/>
          <w:lang w:val="en-PH"/>
        </w:rPr>
        <w:t xml:space="preserve"> </w:t>
      </w:r>
    </w:p>
    <w:p w:rsidR="00207715" w:rsidRDefault="00207715" w:rsidP="0063683F">
      <w:pPr>
        <w:autoSpaceDE w:val="0"/>
        <w:autoSpaceDN w:val="0"/>
        <w:adjustRightInd w:val="0"/>
        <w:spacing w:after="0" w:line="240" w:lineRule="atLeast"/>
        <w:jc w:val="both"/>
        <w:rPr>
          <w:rFonts w:ascii="Times New Roman" w:hAnsi="Times New Roman" w:cs="Times New Roman"/>
          <w:sz w:val="24"/>
          <w:szCs w:val="24"/>
          <w:lang w:val="en-PH"/>
        </w:rPr>
      </w:pPr>
    </w:p>
    <w:p w:rsidR="00207715" w:rsidRDefault="00207715" w:rsidP="0063683F">
      <w:pPr>
        <w:pStyle w:val="ListParagraph"/>
        <w:numPr>
          <w:ilvl w:val="0"/>
          <w:numId w:val="10"/>
        </w:numPr>
        <w:autoSpaceDE w:val="0"/>
        <w:autoSpaceDN w:val="0"/>
        <w:adjustRightInd w:val="0"/>
        <w:spacing w:after="0" w:line="240" w:lineRule="atLeast"/>
        <w:ind w:left="426"/>
        <w:jc w:val="both"/>
        <w:rPr>
          <w:rFonts w:ascii="Times New Roman" w:hAnsi="Times New Roman" w:cs="Times New Roman"/>
          <w:sz w:val="24"/>
          <w:szCs w:val="24"/>
          <w:lang w:val="en-PH"/>
        </w:rPr>
      </w:pPr>
      <w:r w:rsidRPr="00207715">
        <w:rPr>
          <w:rFonts w:ascii="Times New Roman" w:hAnsi="Times New Roman" w:cs="Times New Roman"/>
          <w:sz w:val="24"/>
          <w:szCs w:val="24"/>
          <w:lang w:val="en-PH"/>
        </w:rPr>
        <w:t xml:space="preserve">The first one, a </w:t>
      </w:r>
      <w:r w:rsidRPr="00A8243A">
        <w:rPr>
          <w:rFonts w:ascii="Times New Roman" w:hAnsi="Times New Roman" w:cs="Times New Roman"/>
          <w:i/>
          <w:sz w:val="24"/>
          <w:szCs w:val="24"/>
          <w:lang w:val="en-PH"/>
        </w:rPr>
        <w:t>w</w:t>
      </w:r>
      <w:r w:rsidR="004F1B94" w:rsidRPr="00A8243A">
        <w:rPr>
          <w:rFonts w:ascii="Times New Roman" w:hAnsi="Times New Roman" w:cs="Times New Roman"/>
          <w:i/>
          <w:sz w:val="24"/>
          <w:szCs w:val="24"/>
          <w:lang w:val="en-PH"/>
        </w:rPr>
        <w:t>hite paper on artificial intelligence</w:t>
      </w:r>
      <w:r w:rsidR="00A8243A">
        <w:rPr>
          <w:rFonts w:ascii="Times New Roman" w:hAnsi="Times New Roman" w:cs="Times New Roman"/>
          <w:i/>
          <w:sz w:val="24"/>
          <w:szCs w:val="24"/>
          <w:lang w:val="en-PH"/>
        </w:rPr>
        <w:t xml:space="preserve"> </w:t>
      </w:r>
      <w:r w:rsidR="00A8243A" w:rsidRPr="00A8243A">
        <w:rPr>
          <w:rFonts w:ascii="Times New Roman" w:hAnsi="Times New Roman" w:cs="Times New Roman"/>
          <w:sz w:val="24"/>
          <w:szCs w:val="24"/>
          <w:lang w:val="en-PH"/>
        </w:rPr>
        <w:t>(AI)</w:t>
      </w:r>
      <w:r w:rsidRPr="00A8243A">
        <w:rPr>
          <w:rFonts w:ascii="Times New Roman" w:hAnsi="Times New Roman" w:cs="Times New Roman"/>
          <w:sz w:val="24"/>
          <w:szCs w:val="24"/>
          <w:lang w:val="en-PH"/>
        </w:rPr>
        <w:t>,</w:t>
      </w:r>
      <w:r w:rsidRPr="00207715">
        <w:rPr>
          <w:rFonts w:ascii="Times New Roman" w:hAnsi="Times New Roman" w:cs="Times New Roman"/>
          <w:sz w:val="24"/>
          <w:szCs w:val="24"/>
          <w:lang w:val="en-PH"/>
        </w:rPr>
        <w:t xml:space="preserve"> presents a framework for the development of AI based on excellence and trust. The </w:t>
      </w:r>
      <w:r w:rsidR="00A8243A">
        <w:rPr>
          <w:rFonts w:ascii="Times New Roman" w:hAnsi="Times New Roman" w:cs="Times New Roman"/>
          <w:sz w:val="24"/>
          <w:szCs w:val="24"/>
          <w:lang w:val="en-PH"/>
        </w:rPr>
        <w:t xml:space="preserve">European </w:t>
      </w:r>
      <w:r w:rsidRPr="00207715">
        <w:rPr>
          <w:rFonts w:ascii="Times New Roman" w:hAnsi="Times New Roman" w:cs="Times New Roman"/>
          <w:sz w:val="24"/>
          <w:szCs w:val="24"/>
          <w:lang w:val="en-PH"/>
        </w:rPr>
        <w:t xml:space="preserve">Commission aims to accelerate deployment of AI in partnership with the private and public sectors, starting in research and innovation. This will be achieved by creating the right incentives and mobilising resources along the entire value chain. The aim is also to build trust in AI applications by protecting citizens' safety and rights and securing legal certainty regarding AI innovations. </w:t>
      </w:r>
    </w:p>
    <w:p w:rsidR="00C87977" w:rsidRDefault="00207715" w:rsidP="0063683F">
      <w:pPr>
        <w:pStyle w:val="ListParagraph"/>
        <w:numPr>
          <w:ilvl w:val="0"/>
          <w:numId w:val="10"/>
        </w:numPr>
        <w:autoSpaceDE w:val="0"/>
        <w:autoSpaceDN w:val="0"/>
        <w:adjustRightInd w:val="0"/>
        <w:spacing w:after="0" w:line="240" w:lineRule="atLeast"/>
        <w:ind w:left="426"/>
        <w:jc w:val="both"/>
        <w:rPr>
          <w:rFonts w:ascii="Times New Roman" w:hAnsi="Times New Roman" w:cs="Times New Roman"/>
          <w:sz w:val="24"/>
          <w:szCs w:val="24"/>
          <w:lang w:val="en-PH"/>
        </w:rPr>
      </w:pPr>
      <w:r w:rsidRPr="00C87977">
        <w:rPr>
          <w:rFonts w:ascii="Times New Roman" w:hAnsi="Times New Roman" w:cs="Times New Roman"/>
          <w:sz w:val="24"/>
          <w:szCs w:val="24"/>
          <w:lang w:val="en-PH"/>
        </w:rPr>
        <w:t xml:space="preserve">The second pillar, a </w:t>
      </w:r>
      <w:r w:rsidRPr="00A8243A">
        <w:rPr>
          <w:rFonts w:ascii="Times New Roman" w:hAnsi="Times New Roman" w:cs="Times New Roman"/>
          <w:i/>
          <w:sz w:val="24"/>
          <w:szCs w:val="24"/>
          <w:lang w:val="en-PH"/>
        </w:rPr>
        <w:t>European data strategy</w:t>
      </w:r>
      <w:r w:rsidRPr="00C87977">
        <w:rPr>
          <w:rFonts w:ascii="Times New Roman" w:hAnsi="Times New Roman" w:cs="Times New Roman"/>
          <w:sz w:val="24"/>
          <w:szCs w:val="24"/>
          <w:lang w:val="en-PH"/>
        </w:rPr>
        <w:t>, aims at creating a single market for data</w:t>
      </w:r>
      <w:r w:rsidR="00C87977" w:rsidRPr="00C87977">
        <w:rPr>
          <w:rFonts w:ascii="Times New Roman" w:hAnsi="Times New Roman" w:cs="Times New Roman"/>
          <w:sz w:val="24"/>
          <w:szCs w:val="24"/>
          <w:lang w:val="en-PH"/>
        </w:rPr>
        <w:t xml:space="preserve"> based on the principle of making data</w:t>
      </w:r>
      <w:r w:rsidR="00C87977">
        <w:rPr>
          <w:rFonts w:ascii="Times New Roman" w:hAnsi="Times New Roman" w:cs="Times New Roman"/>
          <w:sz w:val="24"/>
          <w:szCs w:val="24"/>
          <w:lang w:val="en-PH"/>
        </w:rPr>
        <w:t xml:space="preserve"> </w:t>
      </w:r>
      <w:r w:rsidR="00C87977" w:rsidRPr="00C87977">
        <w:rPr>
          <w:rFonts w:ascii="Times New Roman" w:hAnsi="Times New Roman" w:cs="Times New Roman"/>
          <w:sz w:val="24"/>
          <w:szCs w:val="24"/>
          <w:lang w:val="en-PH"/>
        </w:rPr>
        <w:t>available to all. This will be done by: creating a regulatory framework for data governance, access and re-use, supporting the development of technological systems and a</w:t>
      </w:r>
      <w:r w:rsidR="00C87977">
        <w:rPr>
          <w:rFonts w:ascii="Times New Roman" w:hAnsi="Times New Roman" w:cs="Times New Roman"/>
          <w:sz w:val="24"/>
          <w:szCs w:val="24"/>
          <w:lang w:val="en-PH"/>
        </w:rPr>
        <w:t xml:space="preserve"> </w:t>
      </w:r>
      <w:r w:rsidR="00C87977" w:rsidRPr="00C87977">
        <w:rPr>
          <w:rFonts w:ascii="Times New Roman" w:hAnsi="Times New Roman" w:cs="Times New Roman"/>
          <w:sz w:val="24"/>
          <w:szCs w:val="24"/>
          <w:lang w:val="en-PH"/>
        </w:rPr>
        <w:t>cutting-edge infrastructure, improving competences in society and business, and building European data spaces in many crucial areas, such as industrial manufacturing,</w:t>
      </w:r>
      <w:r w:rsidR="00C87977">
        <w:rPr>
          <w:rFonts w:ascii="Times New Roman" w:hAnsi="Times New Roman" w:cs="Times New Roman"/>
          <w:sz w:val="24"/>
          <w:szCs w:val="24"/>
          <w:lang w:val="en-PH"/>
        </w:rPr>
        <w:t xml:space="preserve"> </w:t>
      </w:r>
      <w:r w:rsidR="00C87977" w:rsidRPr="00C87977">
        <w:rPr>
          <w:rFonts w:ascii="Times New Roman" w:hAnsi="Times New Roman" w:cs="Times New Roman"/>
          <w:sz w:val="24"/>
          <w:szCs w:val="24"/>
          <w:lang w:val="en-PH"/>
        </w:rPr>
        <w:t xml:space="preserve">the </w:t>
      </w:r>
      <w:r w:rsidR="00A8243A">
        <w:rPr>
          <w:rFonts w:ascii="Times New Roman" w:hAnsi="Times New Roman" w:cs="Times New Roman"/>
          <w:sz w:val="24"/>
          <w:szCs w:val="24"/>
          <w:lang w:val="en-PH"/>
        </w:rPr>
        <w:t>EGD</w:t>
      </w:r>
      <w:r w:rsidR="00C87977" w:rsidRPr="00C87977">
        <w:rPr>
          <w:rFonts w:ascii="Times New Roman" w:hAnsi="Times New Roman" w:cs="Times New Roman"/>
          <w:sz w:val="24"/>
          <w:szCs w:val="24"/>
          <w:lang w:val="en-PH"/>
        </w:rPr>
        <w:t>, health and energy.</w:t>
      </w:r>
    </w:p>
    <w:p w:rsidR="00C24309" w:rsidRDefault="00C24309" w:rsidP="0063683F">
      <w:pPr>
        <w:autoSpaceDE w:val="0"/>
        <w:autoSpaceDN w:val="0"/>
        <w:adjustRightInd w:val="0"/>
        <w:spacing w:after="0" w:line="240" w:lineRule="atLeast"/>
        <w:jc w:val="both"/>
        <w:rPr>
          <w:rFonts w:ascii="Times New Roman" w:hAnsi="Times New Roman" w:cs="Times New Roman"/>
          <w:sz w:val="24"/>
          <w:szCs w:val="24"/>
          <w:lang w:val="en-PH"/>
        </w:rPr>
      </w:pPr>
    </w:p>
    <w:p w:rsidR="00631C80" w:rsidRDefault="00C24309" w:rsidP="0063683F">
      <w:pPr>
        <w:autoSpaceDE w:val="0"/>
        <w:autoSpaceDN w:val="0"/>
        <w:adjustRightInd w:val="0"/>
        <w:spacing w:after="0" w:line="240" w:lineRule="atLeast"/>
        <w:jc w:val="both"/>
        <w:rPr>
          <w:rFonts w:ascii="Times New Roman" w:hAnsi="Times New Roman" w:cs="Times New Roman"/>
          <w:sz w:val="24"/>
          <w:szCs w:val="24"/>
          <w:lang w:val="en-ZA"/>
        </w:rPr>
      </w:pPr>
      <w:r w:rsidRPr="00C24309">
        <w:rPr>
          <w:rFonts w:ascii="Times New Roman" w:hAnsi="Times New Roman" w:cs="Times New Roman"/>
          <w:sz w:val="24"/>
          <w:szCs w:val="24"/>
          <w:lang w:val="en-ZA"/>
        </w:rPr>
        <w:t xml:space="preserve">The EGD and </w:t>
      </w:r>
      <w:r w:rsidR="00A8243A">
        <w:rPr>
          <w:rFonts w:ascii="Times New Roman" w:hAnsi="Times New Roman" w:cs="Times New Roman"/>
          <w:sz w:val="24"/>
          <w:szCs w:val="24"/>
          <w:lang w:val="en-ZA"/>
        </w:rPr>
        <w:t xml:space="preserve">the </w:t>
      </w:r>
      <w:r w:rsidRPr="00C24309">
        <w:rPr>
          <w:rFonts w:ascii="Times New Roman" w:hAnsi="Times New Roman" w:cs="Times New Roman"/>
          <w:sz w:val="24"/>
          <w:szCs w:val="24"/>
          <w:lang w:val="en-ZA"/>
        </w:rPr>
        <w:t xml:space="preserve">EDA set out a series of policy instruments to reach objectives outlined for each of the </w:t>
      </w:r>
      <w:r w:rsidR="001A0394">
        <w:rPr>
          <w:rFonts w:ascii="Times New Roman" w:hAnsi="Times New Roman" w:cs="Times New Roman"/>
          <w:sz w:val="24"/>
          <w:szCs w:val="24"/>
          <w:lang w:val="en-ZA"/>
        </w:rPr>
        <w:t xml:space="preserve">two </w:t>
      </w:r>
      <w:r w:rsidRPr="00C24309">
        <w:rPr>
          <w:rFonts w:ascii="Times New Roman" w:hAnsi="Times New Roman" w:cs="Times New Roman"/>
          <w:sz w:val="24"/>
          <w:szCs w:val="24"/>
          <w:lang w:val="en-ZA"/>
        </w:rPr>
        <w:t xml:space="preserve">policy priorities. These </w:t>
      </w:r>
      <w:r w:rsidR="00A8243A">
        <w:rPr>
          <w:rFonts w:ascii="Times New Roman" w:hAnsi="Times New Roman" w:cs="Times New Roman"/>
          <w:sz w:val="24"/>
          <w:szCs w:val="24"/>
          <w:lang w:val="en-ZA"/>
        </w:rPr>
        <w:t xml:space="preserve">instruments </w:t>
      </w:r>
      <w:r w:rsidRPr="00C24309">
        <w:rPr>
          <w:rFonts w:ascii="Times New Roman" w:hAnsi="Times New Roman" w:cs="Times New Roman"/>
          <w:sz w:val="24"/>
          <w:szCs w:val="24"/>
          <w:lang w:val="en-ZA"/>
        </w:rPr>
        <w:t xml:space="preserve">could be classified into four broad categories. </w:t>
      </w:r>
    </w:p>
    <w:p w:rsidR="00631C80" w:rsidRPr="00631C80" w:rsidRDefault="00C24309" w:rsidP="0063683F">
      <w:pPr>
        <w:pStyle w:val="Default"/>
        <w:numPr>
          <w:ilvl w:val="0"/>
          <w:numId w:val="11"/>
        </w:numPr>
        <w:spacing w:line="240" w:lineRule="atLeast"/>
        <w:ind w:left="426"/>
        <w:jc w:val="both"/>
        <w:rPr>
          <w:rFonts w:ascii="Times New Roman" w:hAnsi="Times New Roman" w:cs="Times New Roman"/>
          <w:lang w:val="en-PH"/>
        </w:rPr>
      </w:pPr>
      <w:r w:rsidRPr="00631C80">
        <w:rPr>
          <w:rFonts w:ascii="Times New Roman" w:hAnsi="Times New Roman" w:cs="Times New Roman"/>
          <w:i/>
          <w:lang w:val="en-PH"/>
        </w:rPr>
        <w:t>regulatory reforms</w:t>
      </w:r>
      <w:r w:rsidR="00631C80" w:rsidRPr="00631C80">
        <w:rPr>
          <w:rFonts w:ascii="Times New Roman" w:hAnsi="Times New Roman" w:cs="Times New Roman"/>
          <w:i/>
          <w:lang w:val="en-PH"/>
        </w:rPr>
        <w:t xml:space="preserve">; </w:t>
      </w:r>
      <w:r w:rsidR="00631C80" w:rsidRPr="00631C80">
        <w:rPr>
          <w:rFonts w:ascii="Times New Roman" w:hAnsi="Times New Roman" w:cs="Times New Roman"/>
          <w:lang w:val="en-PH"/>
        </w:rPr>
        <w:t>T</w:t>
      </w:r>
      <w:r w:rsidRPr="00631C80">
        <w:rPr>
          <w:rFonts w:ascii="Times New Roman" w:hAnsi="Times New Roman" w:cs="Times New Roman"/>
          <w:lang w:val="en-PH"/>
        </w:rPr>
        <w:t xml:space="preserve">he European Commission will or has already reviewed and proposed new legislative acts aligned with the policy priority objectives. </w:t>
      </w:r>
      <w:r w:rsidR="00631C80" w:rsidRPr="00631C80">
        <w:rPr>
          <w:rFonts w:ascii="Times New Roman" w:hAnsi="Times New Roman" w:cs="Times New Roman"/>
          <w:lang w:val="en-PH"/>
        </w:rPr>
        <w:t xml:space="preserve">If we take the EDG as an example, in spring 2020, the European Commission adopted an ambitious legislative proposal for a </w:t>
      </w:r>
      <w:r w:rsidR="00631C80" w:rsidRPr="00A8243A">
        <w:rPr>
          <w:rFonts w:ascii="Times New Roman" w:hAnsi="Times New Roman" w:cs="Times New Roman"/>
          <w:i/>
          <w:lang w:val="en-PH"/>
        </w:rPr>
        <w:t>European climate law</w:t>
      </w:r>
      <w:r w:rsidR="00631C80" w:rsidRPr="00631C80">
        <w:rPr>
          <w:rFonts w:ascii="Times New Roman" w:hAnsi="Times New Roman" w:cs="Times New Roman"/>
          <w:lang w:val="en-PH"/>
        </w:rPr>
        <w:t xml:space="preserve"> that sets the objective of the EU becoming climate</w:t>
      </w:r>
      <w:r w:rsidR="00807AFE">
        <w:rPr>
          <w:rFonts w:ascii="Times New Roman" w:hAnsi="Times New Roman" w:cs="Times New Roman"/>
          <w:lang w:val="en-PH"/>
        </w:rPr>
        <w:t xml:space="preserve"> </w:t>
      </w:r>
      <w:r w:rsidR="00631C80" w:rsidRPr="00631C80">
        <w:rPr>
          <w:rFonts w:ascii="Times New Roman" w:hAnsi="Times New Roman" w:cs="Times New Roman"/>
          <w:lang w:val="en-PH"/>
        </w:rPr>
        <w:t>neutral by 2050 and establishes a framework for achieving that objective.</w:t>
      </w:r>
    </w:p>
    <w:p w:rsidR="00631C80" w:rsidRPr="00631C80" w:rsidRDefault="00631C80" w:rsidP="0063683F">
      <w:pPr>
        <w:pStyle w:val="ListParagraph"/>
        <w:numPr>
          <w:ilvl w:val="0"/>
          <w:numId w:val="11"/>
        </w:numPr>
        <w:autoSpaceDE w:val="0"/>
        <w:autoSpaceDN w:val="0"/>
        <w:adjustRightInd w:val="0"/>
        <w:spacing w:after="0" w:line="240" w:lineRule="atLeast"/>
        <w:ind w:left="426"/>
        <w:jc w:val="both"/>
        <w:rPr>
          <w:rFonts w:ascii="Times New Roman" w:hAnsi="Times New Roman" w:cs="Times New Roman"/>
          <w:sz w:val="24"/>
          <w:szCs w:val="24"/>
          <w:lang w:val="en-GB"/>
        </w:rPr>
      </w:pPr>
      <w:r>
        <w:rPr>
          <w:rFonts w:ascii="Times New Roman" w:hAnsi="Times New Roman" w:cs="Times New Roman"/>
          <w:i/>
          <w:sz w:val="24"/>
          <w:szCs w:val="24"/>
          <w:lang w:val="en-GB"/>
        </w:rPr>
        <w:t>p</w:t>
      </w:r>
      <w:r w:rsidRPr="00631C80">
        <w:rPr>
          <w:rFonts w:ascii="Times New Roman" w:hAnsi="Times New Roman" w:cs="Times New Roman"/>
          <w:i/>
          <w:sz w:val="24"/>
          <w:szCs w:val="24"/>
          <w:lang w:val="en-GB"/>
        </w:rPr>
        <w:t>olicy proposals;</w:t>
      </w:r>
      <w:r>
        <w:rPr>
          <w:rFonts w:ascii="Times New Roman" w:hAnsi="Times New Roman" w:cs="Times New Roman"/>
          <w:sz w:val="24"/>
          <w:szCs w:val="24"/>
          <w:lang w:val="en-GB"/>
        </w:rPr>
        <w:t xml:space="preserve"> </w:t>
      </w:r>
      <w:r w:rsidR="00C24309" w:rsidRPr="00631C80">
        <w:rPr>
          <w:rFonts w:ascii="Times New Roman" w:hAnsi="Times New Roman" w:cs="Times New Roman"/>
          <w:sz w:val="24"/>
          <w:szCs w:val="24"/>
          <w:lang w:val="en-GB"/>
        </w:rPr>
        <w:t>Another category of policy instruments are policy proposals in the form of strategies and action plans aimed at addressing specific challenges.</w:t>
      </w:r>
      <w:r w:rsidRPr="00631C8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If </w:t>
      </w:r>
      <w:r w:rsidR="00A8243A">
        <w:rPr>
          <w:rFonts w:ascii="Times New Roman" w:hAnsi="Times New Roman" w:cs="Times New Roman"/>
          <w:sz w:val="24"/>
          <w:szCs w:val="24"/>
          <w:lang w:val="en-GB"/>
        </w:rPr>
        <w:t>a</w:t>
      </w:r>
      <w:r>
        <w:rPr>
          <w:rFonts w:ascii="Times New Roman" w:hAnsi="Times New Roman" w:cs="Times New Roman"/>
          <w:sz w:val="24"/>
          <w:szCs w:val="24"/>
          <w:lang w:val="en-GB"/>
        </w:rPr>
        <w:t xml:space="preserve">gain the EGD </w:t>
      </w:r>
      <w:r w:rsidR="00A8243A">
        <w:rPr>
          <w:rFonts w:ascii="Times New Roman" w:hAnsi="Times New Roman" w:cs="Times New Roman"/>
          <w:sz w:val="24"/>
          <w:szCs w:val="24"/>
          <w:lang w:val="en-GB"/>
        </w:rPr>
        <w:t xml:space="preserve">is taken </w:t>
      </w:r>
      <w:r>
        <w:rPr>
          <w:rFonts w:ascii="Times New Roman" w:hAnsi="Times New Roman" w:cs="Times New Roman"/>
          <w:sz w:val="24"/>
          <w:szCs w:val="24"/>
          <w:lang w:val="en-GB"/>
        </w:rPr>
        <w:t xml:space="preserve">as an example, some </w:t>
      </w:r>
      <w:r w:rsidRPr="00631C80">
        <w:rPr>
          <w:rFonts w:ascii="Times New Roman" w:hAnsi="Times New Roman" w:cs="Times New Roman"/>
          <w:sz w:val="24"/>
          <w:szCs w:val="24"/>
          <w:lang w:val="en-GB"/>
        </w:rPr>
        <w:t xml:space="preserve">of the strategies that will have to be adopted include the following: (i) new industrial strategy, (ii) strategy for green financing, (iii) comprehensive plan to increase the EU emissions reduction target for 2030 towards 55 per cent, (iv) »farm to fork strategy« on sustainable food along the whole value chain, (v) cross-cutting strategy to protect citizens' health from environmental degradation and pollution, (vi) biodiversity Strategy for 2030, and (vii) new circular economy action plan. By </w:t>
      </w:r>
      <w:r>
        <w:rPr>
          <w:rFonts w:ascii="Times New Roman" w:hAnsi="Times New Roman" w:cs="Times New Roman"/>
          <w:sz w:val="24"/>
          <w:szCs w:val="24"/>
          <w:lang w:val="en-GB"/>
        </w:rPr>
        <w:t xml:space="preserve">now, </w:t>
      </w:r>
      <w:r w:rsidRPr="00631C80">
        <w:rPr>
          <w:rFonts w:ascii="Times New Roman" w:hAnsi="Times New Roman" w:cs="Times New Roman"/>
          <w:sz w:val="24"/>
          <w:szCs w:val="24"/>
          <w:lang w:val="en-GB"/>
        </w:rPr>
        <w:t>the Commission has already presented proposals on several of the</w:t>
      </w:r>
      <w:r>
        <w:rPr>
          <w:rFonts w:ascii="Times New Roman" w:hAnsi="Times New Roman" w:cs="Times New Roman"/>
          <w:sz w:val="24"/>
          <w:szCs w:val="24"/>
          <w:lang w:val="en-GB"/>
        </w:rPr>
        <w:t xml:space="preserve">m. </w:t>
      </w:r>
    </w:p>
    <w:p w:rsidR="00C24309" w:rsidRDefault="00631C80" w:rsidP="0063683F">
      <w:pPr>
        <w:pStyle w:val="ListParagraph"/>
        <w:numPr>
          <w:ilvl w:val="0"/>
          <w:numId w:val="11"/>
        </w:numPr>
        <w:autoSpaceDE w:val="0"/>
        <w:autoSpaceDN w:val="0"/>
        <w:adjustRightInd w:val="0"/>
        <w:spacing w:after="0" w:line="240" w:lineRule="atLeast"/>
        <w:ind w:left="426"/>
        <w:jc w:val="both"/>
        <w:rPr>
          <w:rFonts w:ascii="Times New Roman" w:hAnsi="Times New Roman" w:cs="Times New Roman"/>
          <w:sz w:val="24"/>
          <w:szCs w:val="24"/>
          <w:lang w:val="en-GB"/>
        </w:rPr>
      </w:pPr>
      <w:r>
        <w:rPr>
          <w:rFonts w:ascii="Times New Roman" w:hAnsi="Times New Roman" w:cs="Times New Roman"/>
          <w:i/>
          <w:iCs/>
          <w:sz w:val="24"/>
          <w:szCs w:val="24"/>
          <w:lang w:val="en-GB"/>
        </w:rPr>
        <w:t>m</w:t>
      </w:r>
      <w:r w:rsidRPr="00631C80">
        <w:rPr>
          <w:rFonts w:ascii="Times New Roman" w:hAnsi="Times New Roman" w:cs="Times New Roman"/>
          <w:i/>
          <w:iCs/>
          <w:sz w:val="24"/>
          <w:szCs w:val="24"/>
          <w:lang w:val="en-GB"/>
        </w:rPr>
        <w:t>ember states’ activities;</w:t>
      </w:r>
      <w:r w:rsidR="00C24309" w:rsidRPr="00631C80">
        <w:rPr>
          <w:rFonts w:ascii="Times New Roman" w:hAnsi="Times New Roman" w:cs="Times New Roman"/>
          <w:i/>
          <w:iCs/>
          <w:sz w:val="24"/>
          <w:szCs w:val="24"/>
          <w:lang w:val="en-GB"/>
        </w:rPr>
        <w:t xml:space="preserve"> </w:t>
      </w:r>
      <w:r w:rsidR="00C24309" w:rsidRPr="00631C80">
        <w:rPr>
          <w:rFonts w:ascii="Times New Roman" w:hAnsi="Times New Roman" w:cs="Times New Roman"/>
          <w:sz w:val="24"/>
          <w:szCs w:val="24"/>
          <w:lang w:val="en-GB"/>
        </w:rPr>
        <w:t xml:space="preserve">Taking into account subsidiarity as one of the key EU principles, the European Commission plans to make use of the existing institutional frameworks for coordination of member state actions to ensure that national policies contribute to the EDG’s and EDA’s objectives. One obvious example of this kind are the existing national energy and climate plans that outline how member states plan to address key climate objectives over the 2021-2030 period. Another one is integration of “green” and digital conditioning into the European Semester framework of medium term budget objectives. </w:t>
      </w:r>
    </w:p>
    <w:p w:rsidR="004F1B94" w:rsidRPr="00247DD2" w:rsidRDefault="00781D2F" w:rsidP="0063683F">
      <w:pPr>
        <w:pStyle w:val="ListParagraph"/>
        <w:numPr>
          <w:ilvl w:val="0"/>
          <w:numId w:val="11"/>
        </w:numPr>
        <w:autoSpaceDE w:val="0"/>
        <w:autoSpaceDN w:val="0"/>
        <w:adjustRightInd w:val="0"/>
        <w:spacing w:after="0" w:line="240" w:lineRule="atLeast"/>
        <w:ind w:left="426"/>
        <w:jc w:val="both"/>
        <w:rPr>
          <w:rFonts w:ascii="Times New Roman" w:hAnsi="Times New Roman" w:cs="Times New Roman"/>
        </w:rPr>
      </w:pPr>
      <w:r w:rsidRPr="001C15F8">
        <w:rPr>
          <w:rFonts w:ascii="Times New Roman" w:hAnsi="Times New Roman" w:cs="Times New Roman"/>
          <w:i/>
          <w:iCs/>
          <w:sz w:val="24"/>
          <w:szCs w:val="24"/>
          <w:lang w:val="en-GB"/>
        </w:rPr>
        <w:t>investment funding;</w:t>
      </w:r>
      <w:r w:rsidRPr="001C15F8">
        <w:rPr>
          <w:rFonts w:ascii="Times New Roman" w:hAnsi="Times New Roman" w:cs="Times New Roman"/>
          <w:sz w:val="24"/>
          <w:szCs w:val="24"/>
          <w:lang w:val="en-GB"/>
        </w:rPr>
        <w:t xml:space="preserve"> </w:t>
      </w:r>
      <w:r w:rsidR="00C24309" w:rsidRPr="001C15F8">
        <w:rPr>
          <w:rFonts w:ascii="Times New Roman" w:hAnsi="Times New Roman" w:cs="Times New Roman"/>
          <w:sz w:val="24"/>
          <w:szCs w:val="24"/>
          <w:lang w:val="en-GB"/>
        </w:rPr>
        <w:t xml:space="preserve">In order to implement </w:t>
      </w:r>
      <w:r w:rsidR="00A8243A">
        <w:rPr>
          <w:rFonts w:ascii="Times New Roman" w:hAnsi="Times New Roman" w:cs="Times New Roman"/>
          <w:sz w:val="24"/>
          <w:szCs w:val="24"/>
          <w:lang w:val="en-GB"/>
        </w:rPr>
        <w:t xml:space="preserve">the </w:t>
      </w:r>
      <w:r w:rsidR="00C24309" w:rsidRPr="001C15F8">
        <w:rPr>
          <w:rFonts w:ascii="Times New Roman" w:hAnsi="Times New Roman" w:cs="Times New Roman"/>
          <w:sz w:val="24"/>
          <w:szCs w:val="24"/>
          <w:lang w:val="en-GB"/>
        </w:rPr>
        <w:t>E</w:t>
      </w:r>
      <w:r w:rsidRPr="001C15F8">
        <w:rPr>
          <w:rFonts w:ascii="Times New Roman" w:hAnsi="Times New Roman" w:cs="Times New Roman"/>
          <w:sz w:val="24"/>
          <w:szCs w:val="24"/>
          <w:lang w:val="en-GB"/>
        </w:rPr>
        <w:t xml:space="preserve">GD and EDA </w:t>
      </w:r>
      <w:r w:rsidR="00C24309" w:rsidRPr="001C15F8">
        <w:rPr>
          <w:rFonts w:ascii="Times New Roman" w:hAnsi="Times New Roman" w:cs="Times New Roman"/>
          <w:sz w:val="24"/>
          <w:szCs w:val="24"/>
          <w:lang w:val="en-GB"/>
        </w:rPr>
        <w:t xml:space="preserve">objectives massive </w:t>
      </w:r>
      <w:r w:rsidRPr="001C15F8">
        <w:rPr>
          <w:rFonts w:ascii="Times New Roman" w:hAnsi="Times New Roman" w:cs="Times New Roman"/>
          <w:sz w:val="24"/>
          <w:szCs w:val="24"/>
          <w:lang w:val="en-GB"/>
        </w:rPr>
        <w:t>investments would be requi</w:t>
      </w:r>
      <w:r w:rsidR="00C24309" w:rsidRPr="001C15F8">
        <w:rPr>
          <w:rFonts w:ascii="Times New Roman" w:hAnsi="Times New Roman" w:cs="Times New Roman"/>
          <w:sz w:val="24"/>
          <w:szCs w:val="24"/>
          <w:lang w:val="en-GB"/>
        </w:rPr>
        <w:t xml:space="preserve">red. </w:t>
      </w:r>
      <w:r w:rsidR="001C15F8" w:rsidRPr="001C15F8">
        <w:rPr>
          <w:rFonts w:ascii="Times New Roman" w:hAnsi="Times New Roman" w:cs="Times New Roman"/>
          <w:sz w:val="24"/>
          <w:szCs w:val="24"/>
          <w:lang w:val="en-GB"/>
        </w:rPr>
        <w:t xml:space="preserve">The </w:t>
      </w:r>
      <w:r w:rsidR="001C15F8" w:rsidRPr="00A8243A">
        <w:rPr>
          <w:rFonts w:ascii="Times New Roman" w:hAnsi="Times New Roman" w:cs="Times New Roman"/>
          <w:i/>
          <w:sz w:val="24"/>
          <w:szCs w:val="24"/>
          <w:lang w:val="en-GB"/>
        </w:rPr>
        <w:t>European Green Deal Investment Plan</w:t>
      </w:r>
      <w:r w:rsidR="001C15F8" w:rsidRPr="001C15F8">
        <w:rPr>
          <w:rFonts w:ascii="Times New Roman" w:hAnsi="Times New Roman" w:cs="Times New Roman"/>
          <w:sz w:val="24"/>
          <w:szCs w:val="24"/>
          <w:lang w:val="en-GB"/>
        </w:rPr>
        <w:t>, an investment component of the EGD, seeks to mobilise at least EUR 1,000 billion of financing for sustainable projects, to create a framework for private and public investors, to facilitate sustainable investments and to support public administrations in structuring and executing sustainable projects over the 2021-2030 decade</w:t>
      </w:r>
      <w:r w:rsidR="001C15F8" w:rsidRPr="001C15F8">
        <w:rPr>
          <w:rStyle w:val="FootnoteReference"/>
          <w:rFonts w:ascii="Times New Roman" w:hAnsi="Times New Roman" w:cs="Times New Roman"/>
          <w:sz w:val="24"/>
          <w:szCs w:val="24"/>
          <w:lang w:val="en-GB"/>
        </w:rPr>
        <w:footnoteReference w:id="4"/>
      </w:r>
      <w:r w:rsidR="001C15F8" w:rsidRPr="001C15F8">
        <w:rPr>
          <w:rFonts w:ascii="Times New Roman" w:hAnsi="Times New Roman" w:cs="Times New Roman"/>
          <w:sz w:val="24"/>
          <w:szCs w:val="24"/>
          <w:lang w:val="en-GB"/>
        </w:rPr>
        <w:t xml:space="preserve">. Around a half of the total amount would </w:t>
      </w:r>
      <w:r w:rsidR="001C15F8" w:rsidRPr="001C15F8">
        <w:rPr>
          <w:rFonts w:ascii="Times New Roman" w:hAnsi="Times New Roman" w:cs="Times New Roman"/>
          <w:sz w:val="24"/>
          <w:szCs w:val="24"/>
          <w:lang w:val="en-GB"/>
        </w:rPr>
        <w:lastRenderedPageBreak/>
        <w:t xml:space="preserve">come directly from the EU budget, whereas other public and private financial resources would provide the remainder, mainly through a leverage effect based on a EU budget guarantee. </w:t>
      </w:r>
    </w:p>
    <w:p w:rsidR="00247DD2" w:rsidRPr="00247DD2" w:rsidRDefault="00247DD2" w:rsidP="00DC0364">
      <w:pPr>
        <w:autoSpaceDE w:val="0"/>
        <w:autoSpaceDN w:val="0"/>
        <w:adjustRightInd w:val="0"/>
        <w:spacing w:after="0" w:line="240" w:lineRule="atLeast"/>
        <w:jc w:val="both"/>
        <w:rPr>
          <w:rFonts w:ascii="Times New Roman" w:hAnsi="Times New Roman" w:cs="Times New Roman"/>
        </w:rPr>
      </w:pPr>
    </w:p>
    <w:p w:rsidR="009D783F" w:rsidRDefault="00965E45" w:rsidP="00965E45">
      <w:pPr>
        <w:pStyle w:val="NoSpacing"/>
        <w:rPr>
          <w:rFonts w:ascii="Times New Roman" w:hAnsi="Times New Roman" w:cs="Times New Roman"/>
          <w:b/>
          <w:sz w:val="24"/>
          <w:szCs w:val="24"/>
          <w:lang w:val="en-PH"/>
        </w:rPr>
      </w:pPr>
      <w:r w:rsidRPr="009775D1">
        <w:rPr>
          <w:rFonts w:ascii="Times New Roman" w:hAnsi="Times New Roman" w:cs="Times New Roman"/>
          <w:b/>
          <w:sz w:val="24"/>
          <w:szCs w:val="24"/>
          <w:lang w:val="en-PH"/>
        </w:rPr>
        <w:t>2.</w:t>
      </w:r>
      <w:r>
        <w:rPr>
          <w:rFonts w:ascii="Times New Roman" w:hAnsi="Times New Roman" w:cs="Times New Roman"/>
          <w:b/>
          <w:sz w:val="24"/>
          <w:szCs w:val="24"/>
          <w:lang w:val="en-PH"/>
        </w:rPr>
        <w:t>2</w:t>
      </w:r>
      <w:r w:rsidRPr="009775D1">
        <w:rPr>
          <w:rFonts w:ascii="Times New Roman" w:hAnsi="Times New Roman" w:cs="Times New Roman"/>
          <w:b/>
          <w:sz w:val="24"/>
          <w:szCs w:val="24"/>
          <w:lang w:val="en-PH"/>
        </w:rPr>
        <w:t xml:space="preserve">. </w:t>
      </w:r>
      <w:r w:rsidR="00846F87">
        <w:rPr>
          <w:rFonts w:ascii="Times New Roman" w:hAnsi="Times New Roman" w:cs="Times New Roman"/>
          <w:b/>
          <w:sz w:val="24"/>
          <w:szCs w:val="24"/>
          <w:lang w:val="en-PH"/>
        </w:rPr>
        <w:t>Channels through which the n</w:t>
      </w:r>
      <w:r>
        <w:rPr>
          <w:rFonts w:ascii="Times New Roman" w:hAnsi="Times New Roman" w:cs="Times New Roman"/>
          <w:b/>
          <w:sz w:val="24"/>
          <w:szCs w:val="24"/>
          <w:lang w:val="en-PH"/>
        </w:rPr>
        <w:t xml:space="preserve">ew EU development </w:t>
      </w:r>
      <w:r w:rsidR="00C87BCE">
        <w:rPr>
          <w:rFonts w:ascii="Times New Roman" w:hAnsi="Times New Roman" w:cs="Times New Roman"/>
          <w:b/>
          <w:sz w:val="24"/>
          <w:szCs w:val="24"/>
          <w:lang w:val="en-PH"/>
        </w:rPr>
        <w:t>strategy</w:t>
      </w:r>
      <w:r>
        <w:rPr>
          <w:rFonts w:ascii="Times New Roman" w:hAnsi="Times New Roman" w:cs="Times New Roman"/>
          <w:b/>
          <w:sz w:val="24"/>
          <w:szCs w:val="24"/>
          <w:lang w:val="en-PH"/>
        </w:rPr>
        <w:t xml:space="preserve"> </w:t>
      </w:r>
      <w:r w:rsidR="00846F87">
        <w:rPr>
          <w:rFonts w:ascii="Times New Roman" w:hAnsi="Times New Roman" w:cs="Times New Roman"/>
          <w:b/>
          <w:sz w:val="24"/>
          <w:szCs w:val="24"/>
          <w:lang w:val="en-PH"/>
        </w:rPr>
        <w:t>is expected to</w:t>
      </w:r>
    </w:p>
    <w:p w:rsidR="00965E45" w:rsidRPr="009775D1" w:rsidRDefault="009D783F" w:rsidP="00965E45">
      <w:pPr>
        <w:pStyle w:val="NoSpacing"/>
        <w:rPr>
          <w:rFonts w:ascii="Times New Roman" w:hAnsi="Times New Roman" w:cs="Times New Roman"/>
          <w:b/>
          <w:sz w:val="24"/>
          <w:szCs w:val="24"/>
          <w:lang w:val="en-PH"/>
        </w:rPr>
      </w:pPr>
      <w:r>
        <w:rPr>
          <w:rFonts w:ascii="Times New Roman" w:hAnsi="Times New Roman" w:cs="Times New Roman"/>
          <w:b/>
          <w:sz w:val="24"/>
          <w:szCs w:val="24"/>
          <w:lang w:val="en-PH"/>
        </w:rPr>
        <w:t xml:space="preserve">      </w:t>
      </w:r>
      <w:r w:rsidR="00846F87">
        <w:rPr>
          <w:rFonts w:ascii="Times New Roman" w:hAnsi="Times New Roman" w:cs="Times New Roman"/>
          <w:b/>
          <w:sz w:val="24"/>
          <w:szCs w:val="24"/>
          <w:lang w:val="en-PH"/>
        </w:rPr>
        <w:t xml:space="preserve"> </w:t>
      </w:r>
      <w:r>
        <w:rPr>
          <w:rFonts w:ascii="Times New Roman" w:hAnsi="Times New Roman" w:cs="Times New Roman"/>
          <w:b/>
          <w:sz w:val="24"/>
          <w:szCs w:val="24"/>
          <w:lang w:val="en-PH"/>
        </w:rPr>
        <w:t xml:space="preserve">influence socio-economic development of the EU </w:t>
      </w:r>
      <w:r w:rsidR="00965E45">
        <w:rPr>
          <w:rFonts w:ascii="Times New Roman" w:hAnsi="Times New Roman" w:cs="Times New Roman"/>
          <w:b/>
          <w:sz w:val="24"/>
          <w:szCs w:val="24"/>
          <w:lang w:val="en-PH"/>
        </w:rPr>
        <w:t>candidate</w:t>
      </w:r>
      <w:r w:rsidR="00846F87">
        <w:rPr>
          <w:rFonts w:ascii="Times New Roman" w:hAnsi="Times New Roman" w:cs="Times New Roman"/>
          <w:b/>
          <w:sz w:val="24"/>
          <w:szCs w:val="24"/>
          <w:lang w:val="en-PH"/>
        </w:rPr>
        <w:t xml:space="preserve"> countries</w:t>
      </w:r>
      <w:r w:rsidR="00965E45" w:rsidRPr="009775D1">
        <w:rPr>
          <w:rFonts w:ascii="Times New Roman" w:hAnsi="Times New Roman" w:cs="Times New Roman"/>
          <w:b/>
          <w:sz w:val="24"/>
          <w:szCs w:val="24"/>
          <w:lang w:val="en-PH"/>
        </w:rPr>
        <w:t xml:space="preserve"> </w:t>
      </w:r>
    </w:p>
    <w:p w:rsidR="00034E2A" w:rsidRDefault="00034E2A" w:rsidP="00186D18">
      <w:pPr>
        <w:autoSpaceDE w:val="0"/>
        <w:autoSpaceDN w:val="0"/>
        <w:adjustRightInd w:val="0"/>
        <w:spacing w:after="0" w:line="240" w:lineRule="auto"/>
        <w:jc w:val="both"/>
        <w:rPr>
          <w:rFonts w:ascii="Times New Roman" w:hAnsi="Times New Roman" w:cs="Times New Roman"/>
          <w:sz w:val="24"/>
          <w:szCs w:val="24"/>
          <w:lang w:val="en-PH"/>
        </w:rPr>
      </w:pPr>
    </w:p>
    <w:p w:rsidR="00C748E1" w:rsidRDefault="00C748E1" w:rsidP="00294B0C">
      <w:pPr>
        <w:autoSpaceDE w:val="0"/>
        <w:autoSpaceDN w:val="0"/>
        <w:adjustRightInd w:val="0"/>
        <w:spacing w:after="0" w:line="240" w:lineRule="atLeast"/>
        <w:ind w:left="68"/>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As presented in the </w:t>
      </w:r>
      <w:r w:rsidRPr="009D783F">
        <w:rPr>
          <w:rFonts w:ascii="Times New Roman" w:hAnsi="Times New Roman" w:cs="Times New Roman"/>
          <w:i/>
          <w:sz w:val="24"/>
          <w:szCs w:val="24"/>
          <w:lang w:val="en-PH"/>
        </w:rPr>
        <w:t>sub-chapter 2.1</w:t>
      </w:r>
      <w:r>
        <w:rPr>
          <w:rFonts w:ascii="Times New Roman" w:hAnsi="Times New Roman" w:cs="Times New Roman"/>
          <w:sz w:val="24"/>
          <w:szCs w:val="24"/>
          <w:lang w:val="en-PH"/>
        </w:rPr>
        <w:t xml:space="preserve">., the </w:t>
      </w:r>
      <w:r w:rsidR="0099293C" w:rsidRPr="00C748E1">
        <w:rPr>
          <w:rFonts w:ascii="Times New Roman" w:hAnsi="Times New Roman" w:cs="Times New Roman"/>
          <w:sz w:val="24"/>
          <w:szCs w:val="24"/>
          <w:lang w:val="en-PH"/>
        </w:rPr>
        <w:t>EU has embarked on the E</w:t>
      </w:r>
      <w:r>
        <w:rPr>
          <w:rFonts w:ascii="Times New Roman" w:hAnsi="Times New Roman" w:cs="Times New Roman"/>
          <w:sz w:val="24"/>
          <w:szCs w:val="24"/>
          <w:lang w:val="en-PH"/>
        </w:rPr>
        <w:t xml:space="preserve">GD </w:t>
      </w:r>
      <w:r w:rsidR="0099293C" w:rsidRPr="00C748E1">
        <w:rPr>
          <w:rFonts w:ascii="Times New Roman" w:hAnsi="Times New Roman" w:cs="Times New Roman"/>
          <w:sz w:val="24"/>
          <w:szCs w:val="24"/>
          <w:lang w:val="en-PH"/>
        </w:rPr>
        <w:t xml:space="preserve">that is a comprehensive and ambitious development strategy aimed at turning the continent into a sustainable, carbon-neutral economy by 2050. Together with the </w:t>
      </w:r>
      <w:r w:rsidR="00C87BCE">
        <w:rPr>
          <w:rFonts w:ascii="Times New Roman" w:hAnsi="Times New Roman" w:cs="Times New Roman"/>
          <w:sz w:val="24"/>
          <w:szCs w:val="24"/>
          <w:lang w:val="en-PH"/>
        </w:rPr>
        <w:t xml:space="preserve">digitalization </w:t>
      </w:r>
      <w:r w:rsidR="0063683F">
        <w:rPr>
          <w:rFonts w:ascii="Times New Roman" w:hAnsi="Times New Roman" w:cs="Times New Roman"/>
          <w:sz w:val="24"/>
          <w:szCs w:val="24"/>
          <w:lang w:val="en-PH"/>
        </w:rPr>
        <w:t xml:space="preserve">strategy articulated in the </w:t>
      </w:r>
      <w:r>
        <w:rPr>
          <w:rFonts w:ascii="Times New Roman" w:hAnsi="Times New Roman" w:cs="Times New Roman"/>
          <w:sz w:val="24"/>
          <w:szCs w:val="24"/>
          <w:lang w:val="en-PH"/>
        </w:rPr>
        <w:t xml:space="preserve">EDA, they </w:t>
      </w:r>
      <w:r w:rsidR="0099293C" w:rsidRPr="00C748E1">
        <w:rPr>
          <w:rFonts w:ascii="Times New Roman" w:hAnsi="Times New Roman" w:cs="Times New Roman"/>
          <w:sz w:val="24"/>
          <w:szCs w:val="24"/>
          <w:lang w:val="en-PH"/>
        </w:rPr>
        <w:t xml:space="preserve">constitute the new EU sustainable development strategy that is strongly anchored within the global Agenda 2030. </w:t>
      </w:r>
    </w:p>
    <w:p w:rsidR="00C748E1" w:rsidRDefault="00C748E1" w:rsidP="00294B0C">
      <w:pPr>
        <w:autoSpaceDE w:val="0"/>
        <w:autoSpaceDN w:val="0"/>
        <w:adjustRightInd w:val="0"/>
        <w:spacing w:after="0" w:line="240" w:lineRule="atLeast"/>
        <w:ind w:left="68"/>
        <w:jc w:val="both"/>
        <w:rPr>
          <w:rFonts w:ascii="Times New Roman" w:hAnsi="Times New Roman" w:cs="Times New Roman"/>
          <w:sz w:val="24"/>
          <w:szCs w:val="24"/>
          <w:lang w:val="en-PH"/>
        </w:rPr>
      </w:pPr>
    </w:p>
    <w:p w:rsidR="00631AEA" w:rsidRDefault="0099293C" w:rsidP="00294B0C">
      <w:pPr>
        <w:autoSpaceDE w:val="0"/>
        <w:autoSpaceDN w:val="0"/>
        <w:adjustRightInd w:val="0"/>
        <w:spacing w:after="0" w:line="240" w:lineRule="atLeast"/>
        <w:ind w:left="68"/>
        <w:jc w:val="both"/>
        <w:rPr>
          <w:rFonts w:ascii="Times New Roman" w:hAnsi="Times New Roman" w:cs="Times New Roman"/>
          <w:sz w:val="24"/>
          <w:szCs w:val="24"/>
          <w:lang w:val="en-ZA"/>
        </w:rPr>
      </w:pPr>
      <w:r w:rsidRPr="00A83EBE">
        <w:rPr>
          <w:rFonts w:ascii="Times New Roman" w:hAnsi="Times New Roman" w:cs="Times New Roman"/>
          <w:sz w:val="24"/>
          <w:szCs w:val="24"/>
          <w:lang w:val="en-PH"/>
        </w:rPr>
        <w:t>The E</w:t>
      </w:r>
      <w:r w:rsidR="00C748E1" w:rsidRPr="00A83EBE">
        <w:rPr>
          <w:rFonts w:ascii="Times New Roman" w:hAnsi="Times New Roman" w:cs="Times New Roman"/>
          <w:sz w:val="24"/>
          <w:szCs w:val="24"/>
          <w:lang w:val="en-PH"/>
        </w:rPr>
        <w:t xml:space="preserve">GD and the EDA have </w:t>
      </w:r>
      <w:r w:rsidRPr="00A83EBE">
        <w:rPr>
          <w:rFonts w:ascii="Times New Roman" w:hAnsi="Times New Roman" w:cs="Times New Roman"/>
          <w:sz w:val="24"/>
          <w:szCs w:val="24"/>
          <w:lang w:val="en-PH"/>
        </w:rPr>
        <w:t xml:space="preserve">already started </w:t>
      </w:r>
      <w:r w:rsidR="00937DDD">
        <w:rPr>
          <w:rFonts w:ascii="Times New Roman" w:hAnsi="Times New Roman" w:cs="Times New Roman"/>
          <w:sz w:val="24"/>
          <w:szCs w:val="24"/>
          <w:lang w:val="en-PH"/>
        </w:rPr>
        <w:t xml:space="preserve">to influence the socio-economic development of the EU candidate countries in the Western Balkans. There are two strategic documents </w:t>
      </w:r>
      <w:r w:rsidR="00631AEA">
        <w:rPr>
          <w:rFonts w:ascii="Times New Roman" w:hAnsi="Times New Roman" w:cs="Times New Roman"/>
          <w:sz w:val="24"/>
          <w:szCs w:val="24"/>
          <w:lang w:val="en-ZA"/>
        </w:rPr>
        <w:t xml:space="preserve">prepared and adopted by the EU </w:t>
      </w:r>
      <w:r w:rsidR="00937DDD">
        <w:rPr>
          <w:rFonts w:ascii="Times New Roman" w:hAnsi="Times New Roman" w:cs="Times New Roman"/>
          <w:sz w:val="24"/>
          <w:szCs w:val="24"/>
          <w:lang w:val="en-ZA"/>
        </w:rPr>
        <w:t xml:space="preserve">that </w:t>
      </w:r>
      <w:r w:rsidR="0063683F">
        <w:rPr>
          <w:rFonts w:ascii="Times New Roman" w:hAnsi="Times New Roman" w:cs="Times New Roman"/>
          <w:sz w:val="24"/>
          <w:szCs w:val="24"/>
          <w:lang w:val="en-ZA"/>
        </w:rPr>
        <w:t xml:space="preserve">are of particular importance </w:t>
      </w:r>
      <w:r w:rsidR="00631AEA">
        <w:rPr>
          <w:rFonts w:ascii="Times New Roman" w:hAnsi="Times New Roman" w:cs="Times New Roman"/>
          <w:sz w:val="24"/>
          <w:szCs w:val="24"/>
          <w:lang w:val="en-ZA"/>
        </w:rPr>
        <w:t xml:space="preserve">within this context. </w:t>
      </w:r>
    </w:p>
    <w:p w:rsidR="00631AEA" w:rsidRDefault="00631AEA" w:rsidP="00294B0C">
      <w:pPr>
        <w:autoSpaceDE w:val="0"/>
        <w:autoSpaceDN w:val="0"/>
        <w:adjustRightInd w:val="0"/>
        <w:spacing w:after="0" w:line="240" w:lineRule="atLeast"/>
        <w:ind w:left="68"/>
        <w:jc w:val="both"/>
        <w:rPr>
          <w:rFonts w:ascii="Times New Roman" w:hAnsi="Times New Roman" w:cs="Times New Roman"/>
          <w:sz w:val="24"/>
          <w:szCs w:val="24"/>
          <w:lang w:val="en-ZA"/>
        </w:rPr>
      </w:pPr>
    </w:p>
    <w:p w:rsidR="00955613" w:rsidRPr="00B30EBD" w:rsidRDefault="00A3559D" w:rsidP="00294B0C">
      <w:pPr>
        <w:autoSpaceDE w:val="0"/>
        <w:autoSpaceDN w:val="0"/>
        <w:adjustRightInd w:val="0"/>
        <w:spacing w:after="0" w:line="240" w:lineRule="atLeast"/>
        <w:ind w:left="68"/>
        <w:jc w:val="both"/>
        <w:rPr>
          <w:rFonts w:ascii="Times New Roman" w:hAnsi="Times New Roman" w:cs="Times New Roman"/>
          <w:color w:val="000000"/>
          <w:sz w:val="24"/>
          <w:szCs w:val="24"/>
          <w:lang w:val="en-ZA"/>
        </w:rPr>
      </w:pPr>
      <w:r w:rsidRPr="00B30EBD">
        <w:rPr>
          <w:rFonts w:ascii="Times New Roman" w:hAnsi="Times New Roman" w:cs="Times New Roman"/>
          <w:sz w:val="24"/>
          <w:szCs w:val="24"/>
          <w:lang w:val="en-ZA"/>
        </w:rPr>
        <w:t>The first one</w:t>
      </w:r>
      <w:r w:rsidR="0063683F" w:rsidRPr="00B30EBD">
        <w:rPr>
          <w:rFonts w:ascii="Times New Roman" w:hAnsi="Times New Roman" w:cs="Times New Roman"/>
          <w:sz w:val="24"/>
          <w:szCs w:val="24"/>
          <w:lang w:val="en-ZA"/>
        </w:rPr>
        <w:t xml:space="preserve">, it was </w:t>
      </w:r>
      <w:r w:rsidR="00631AEA" w:rsidRPr="00B30EBD">
        <w:rPr>
          <w:rFonts w:ascii="Times New Roman" w:hAnsi="Times New Roman" w:cs="Times New Roman"/>
          <w:sz w:val="24"/>
          <w:szCs w:val="24"/>
          <w:lang w:val="en-ZA"/>
        </w:rPr>
        <w:t>developed a</w:t>
      </w:r>
      <w:r w:rsidR="00953002" w:rsidRPr="00B30EBD">
        <w:rPr>
          <w:rFonts w:ascii="Times New Roman" w:hAnsi="Times New Roman" w:cs="Times New Roman"/>
          <w:sz w:val="24"/>
          <w:szCs w:val="24"/>
          <w:lang w:val="en-ZA"/>
        </w:rPr>
        <w:t xml:space="preserve">lso </w:t>
      </w:r>
      <w:r w:rsidR="0063683F" w:rsidRPr="00B30EBD">
        <w:rPr>
          <w:rFonts w:ascii="Times New Roman" w:hAnsi="Times New Roman" w:cs="Times New Roman"/>
          <w:sz w:val="24"/>
          <w:szCs w:val="24"/>
          <w:lang w:val="en-ZA"/>
        </w:rPr>
        <w:t xml:space="preserve">as a roadmap </w:t>
      </w:r>
      <w:r w:rsidR="00B30EBD" w:rsidRPr="00B30EBD">
        <w:rPr>
          <w:rFonts w:ascii="Times New Roman" w:hAnsi="Times New Roman" w:cs="Times New Roman"/>
          <w:sz w:val="24"/>
          <w:szCs w:val="24"/>
          <w:lang w:val="en-ZA"/>
        </w:rPr>
        <w:t xml:space="preserve">of the </w:t>
      </w:r>
      <w:r w:rsidR="0063683F" w:rsidRPr="00B30EBD">
        <w:rPr>
          <w:rFonts w:ascii="Times New Roman" w:hAnsi="Times New Roman" w:cs="Times New Roman"/>
          <w:sz w:val="24"/>
          <w:szCs w:val="24"/>
          <w:lang w:val="en-ZA"/>
        </w:rPr>
        <w:t xml:space="preserve">EU assistance </w:t>
      </w:r>
      <w:r w:rsidR="00B30EBD" w:rsidRPr="00B30EBD">
        <w:rPr>
          <w:rFonts w:ascii="Times New Roman" w:hAnsi="Times New Roman" w:cs="Times New Roman"/>
          <w:sz w:val="24"/>
          <w:szCs w:val="24"/>
          <w:lang w:val="en-ZA"/>
        </w:rPr>
        <w:t xml:space="preserve">to the region strongly affected by the </w:t>
      </w:r>
      <w:r w:rsidR="00631AEA" w:rsidRPr="00B30EBD">
        <w:rPr>
          <w:rFonts w:ascii="Times New Roman" w:hAnsi="Times New Roman" w:cs="Times New Roman"/>
          <w:sz w:val="24"/>
          <w:szCs w:val="24"/>
          <w:lang w:val="en-ZA"/>
        </w:rPr>
        <w:t>C</w:t>
      </w:r>
      <w:r w:rsidR="00953002" w:rsidRPr="00B30EBD">
        <w:rPr>
          <w:rFonts w:ascii="Times New Roman" w:hAnsi="Times New Roman" w:cs="Times New Roman"/>
          <w:sz w:val="24"/>
          <w:szCs w:val="24"/>
          <w:lang w:val="en-ZA"/>
        </w:rPr>
        <w:t>OVID crisis</w:t>
      </w:r>
      <w:r w:rsidR="00B30EBD" w:rsidRPr="00B30EBD">
        <w:rPr>
          <w:rFonts w:ascii="Times New Roman" w:hAnsi="Times New Roman" w:cs="Times New Roman"/>
          <w:sz w:val="24"/>
          <w:szCs w:val="24"/>
          <w:lang w:val="en-ZA"/>
        </w:rPr>
        <w:t xml:space="preserve">, </w:t>
      </w:r>
      <w:r w:rsidR="00A83EBE" w:rsidRPr="00B30EBD">
        <w:rPr>
          <w:rFonts w:ascii="Times New Roman" w:hAnsi="Times New Roman" w:cs="Times New Roman"/>
          <w:sz w:val="24"/>
          <w:szCs w:val="24"/>
          <w:lang w:val="en-ZA"/>
        </w:rPr>
        <w:t xml:space="preserve">is </w:t>
      </w:r>
      <w:r w:rsidR="00631AEA" w:rsidRPr="00B30EBD">
        <w:rPr>
          <w:rFonts w:ascii="Times New Roman" w:hAnsi="Times New Roman" w:cs="Times New Roman"/>
          <w:sz w:val="24"/>
          <w:szCs w:val="24"/>
          <w:lang w:val="en-ZA"/>
        </w:rPr>
        <w:t xml:space="preserve">the </w:t>
      </w:r>
      <w:r w:rsidR="00C57271" w:rsidRPr="00B30EBD">
        <w:rPr>
          <w:rFonts w:ascii="Times New Roman" w:hAnsi="Times New Roman" w:cs="Times New Roman"/>
          <w:i/>
          <w:sz w:val="24"/>
          <w:szCs w:val="24"/>
          <w:lang w:val="en-ZA"/>
        </w:rPr>
        <w:t xml:space="preserve">Economic and </w:t>
      </w:r>
      <w:r w:rsidR="00A83EBE" w:rsidRPr="00B30EBD">
        <w:rPr>
          <w:rFonts w:ascii="Times New Roman" w:hAnsi="Times New Roman" w:cs="Times New Roman"/>
          <w:i/>
          <w:sz w:val="24"/>
          <w:szCs w:val="24"/>
          <w:lang w:val="en-ZA"/>
        </w:rPr>
        <w:t>Investment Plan for the Western Balkans</w:t>
      </w:r>
      <w:r w:rsidR="00631AEA" w:rsidRPr="00B30EBD">
        <w:rPr>
          <w:rFonts w:ascii="Times New Roman" w:hAnsi="Times New Roman" w:cs="Times New Roman"/>
          <w:sz w:val="24"/>
          <w:szCs w:val="24"/>
          <w:lang w:val="en-ZA"/>
        </w:rPr>
        <w:t xml:space="preserve"> adopted in October 2020</w:t>
      </w:r>
      <w:r w:rsidR="00955613" w:rsidRPr="00B30EBD">
        <w:rPr>
          <w:rFonts w:ascii="Times New Roman" w:hAnsi="Times New Roman" w:cs="Times New Roman"/>
          <w:sz w:val="24"/>
          <w:szCs w:val="24"/>
          <w:lang w:val="en-ZA"/>
        </w:rPr>
        <w:t xml:space="preserve">. The main objective of the </w:t>
      </w:r>
      <w:r w:rsidR="00955613" w:rsidRPr="004A6CCC">
        <w:rPr>
          <w:rFonts w:ascii="Times New Roman" w:hAnsi="Times New Roman" w:cs="Times New Roman"/>
          <w:sz w:val="24"/>
          <w:szCs w:val="24"/>
          <w:lang w:val="en-ZA"/>
        </w:rPr>
        <w:t>Plan is</w:t>
      </w:r>
      <w:r w:rsidR="00955613" w:rsidRPr="00B30EBD">
        <w:rPr>
          <w:rFonts w:ascii="Times New Roman" w:hAnsi="Times New Roman" w:cs="Times New Roman"/>
          <w:sz w:val="24"/>
          <w:szCs w:val="24"/>
          <w:lang w:val="en-ZA"/>
        </w:rPr>
        <w:t xml:space="preserve"> </w:t>
      </w:r>
      <w:r w:rsidR="00B30EBD" w:rsidRPr="00B30EBD">
        <w:rPr>
          <w:rFonts w:ascii="Times New Roman" w:hAnsi="Times New Roman" w:cs="Times New Roman"/>
          <w:sz w:val="24"/>
          <w:szCs w:val="24"/>
          <w:lang w:val="en-ZA"/>
        </w:rPr>
        <w:t xml:space="preserve">to support </w:t>
      </w:r>
      <w:r w:rsidR="00953002" w:rsidRPr="00B30EBD">
        <w:rPr>
          <w:rFonts w:ascii="Times New Roman" w:hAnsi="Times New Roman" w:cs="Times New Roman"/>
          <w:bCs/>
          <w:sz w:val="24"/>
          <w:szCs w:val="24"/>
          <w:lang w:val="en-ZA"/>
        </w:rPr>
        <w:t xml:space="preserve">the long-term recovery </w:t>
      </w:r>
      <w:r w:rsidR="00953002" w:rsidRPr="00B30EBD">
        <w:rPr>
          <w:rFonts w:ascii="Times New Roman" w:hAnsi="Times New Roman" w:cs="Times New Roman"/>
          <w:sz w:val="24"/>
          <w:szCs w:val="24"/>
          <w:lang w:val="en-ZA"/>
        </w:rPr>
        <w:t>- backed by a green and digital transition - leading to sustained economic growth, implementation of reforms required to move forward on the EU path, and bringing the Western Balkans closer to the EU single market</w:t>
      </w:r>
      <w:r w:rsidR="00B30EBD">
        <w:rPr>
          <w:rFonts w:ascii="Times New Roman" w:hAnsi="Times New Roman" w:cs="Times New Roman"/>
          <w:sz w:val="24"/>
          <w:szCs w:val="24"/>
          <w:lang w:val="en-ZA"/>
        </w:rPr>
        <w:t>.</w:t>
      </w:r>
      <w:r w:rsidR="00953002" w:rsidRPr="00B30EBD">
        <w:rPr>
          <w:rFonts w:ascii="Times New Roman" w:hAnsi="Times New Roman" w:cs="Times New Roman"/>
          <w:sz w:val="24"/>
          <w:szCs w:val="24"/>
          <w:lang w:val="en-ZA"/>
        </w:rPr>
        <w:t xml:space="preserve"> </w:t>
      </w:r>
      <w:r w:rsidR="00A83EBE" w:rsidRPr="00B30EBD">
        <w:rPr>
          <w:rFonts w:ascii="Times New Roman" w:hAnsi="Times New Roman" w:cs="Times New Roman"/>
          <w:color w:val="000000"/>
          <w:sz w:val="24"/>
          <w:szCs w:val="24"/>
          <w:lang w:val="en-ZA"/>
        </w:rPr>
        <w:t xml:space="preserve">The </w:t>
      </w:r>
      <w:r w:rsidR="004A6CCC" w:rsidRPr="004A6CCC">
        <w:rPr>
          <w:rFonts w:ascii="Times New Roman" w:hAnsi="Times New Roman" w:cs="Times New Roman"/>
          <w:color w:val="000000"/>
          <w:sz w:val="24"/>
          <w:szCs w:val="24"/>
          <w:lang w:val="en-ZA"/>
        </w:rPr>
        <w:t>P</w:t>
      </w:r>
      <w:r w:rsidR="00A83EBE" w:rsidRPr="004A6CCC">
        <w:rPr>
          <w:rFonts w:ascii="Times New Roman" w:hAnsi="Times New Roman" w:cs="Times New Roman"/>
          <w:color w:val="000000"/>
          <w:sz w:val="24"/>
          <w:szCs w:val="24"/>
          <w:lang w:val="en-ZA"/>
        </w:rPr>
        <w:t xml:space="preserve">lan </w:t>
      </w:r>
      <w:r w:rsidR="00A83EBE" w:rsidRPr="00B30EBD">
        <w:rPr>
          <w:rFonts w:ascii="Times New Roman" w:hAnsi="Times New Roman" w:cs="Times New Roman"/>
          <w:color w:val="000000"/>
          <w:sz w:val="24"/>
          <w:szCs w:val="24"/>
          <w:lang w:val="en-ZA"/>
        </w:rPr>
        <w:t>identifies ten investment flagship initiatives in key area of economic reforms, such as sustainable </w:t>
      </w:r>
      <w:r w:rsidR="00A83EBE" w:rsidRPr="00B30EBD">
        <w:rPr>
          <w:rStyle w:val="Strong"/>
          <w:rFonts w:ascii="Times New Roman" w:hAnsi="Times New Roman" w:cs="Times New Roman"/>
          <w:b w:val="0"/>
          <w:color w:val="000000"/>
          <w:sz w:val="24"/>
          <w:szCs w:val="24"/>
          <w:lang w:val="en-ZA"/>
        </w:rPr>
        <w:t>transport and energy connectivity</w:t>
      </w:r>
      <w:r w:rsidR="00A83EBE" w:rsidRPr="00B30EBD">
        <w:rPr>
          <w:rFonts w:ascii="Times New Roman" w:hAnsi="Times New Roman" w:cs="Times New Roman"/>
          <w:color w:val="000000"/>
          <w:sz w:val="24"/>
          <w:szCs w:val="24"/>
          <w:lang w:val="en-ZA"/>
        </w:rPr>
        <w:t>, the </w:t>
      </w:r>
      <w:r w:rsidR="00A83EBE" w:rsidRPr="00B30EBD">
        <w:rPr>
          <w:rStyle w:val="Strong"/>
          <w:rFonts w:ascii="Times New Roman" w:hAnsi="Times New Roman" w:cs="Times New Roman"/>
          <w:b w:val="0"/>
          <w:color w:val="000000"/>
          <w:sz w:val="24"/>
          <w:szCs w:val="24"/>
          <w:lang w:val="en-ZA"/>
        </w:rPr>
        <w:t>green and digital transformation</w:t>
      </w:r>
      <w:r w:rsidR="00A83EBE" w:rsidRPr="00B30EBD">
        <w:rPr>
          <w:rFonts w:ascii="Times New Roman" w:hAnsi="Times New Roman" w:cs="Times New Roman"/>
          <w:color w:val="000000"/>
          <w:sz w:val="24"/>
          <w:szCs w:val="24"/>
          <w:lang w:val="en-ZA"/>
        </w:rPr>
        <w:t>, strengthening the </w:t>
      </w:r>
      <w:r w:rsidR="00A83EBE" w:rsidRPr="00B30EBD">
        <w:rPr>
          <w:rStyle w:val="Strong"/>
          <w:rFonts w:ascii="Times New Roman" w:hAnsi="Times New Roman" w:cs="Times New Roman"/>
          <w:b w:val="0"/>
          <w:color w:val="000000"/>
          <w:sz w:val="24"/>
          <w:szCs w:val="24"/>
          <w:lang w:val="en-ZA"/>
        </w:rPr>
        <w:t>competitiveness of the private sector</w:t>
      </w:r>
      <w:r w:rsidR="00A83EBE" w:rsidRPr="00B30EBD">
        <w:rPr>
          <w:rFonts w:ascii="Times New Roman" w:hAnsi="Times New Roman" w:cs="Times New Roman"/>
          <w:color w:val="000000"/>
          <w:sz w:val="24"/>
          <w:szCs w:val="24"/>
          <w:lang w:val="en-ZA"/>
        </w:rPr>
        <w:t> and support to </w:t>
      </w:r>
      <w:r w:rsidR="00A83EBE" w:rsidRPr="00B30EBD">
        <w:rPr>
          <w:rStyle w:val="Strong"/>
          <w:rFonts w:ascii="Times New Roman" w:hAnsi="Times New Roman" w:cs="Times New Roman"/>
          <w:b w:val="0"/>
          <w:color w:val="000000"/>
          <w:sz w:val="24"/>
          <w:szCs w:val="24"/>
          <w:lang w:val="en-ZA"/>
        </w:rPr>
        <w:t>health, education</w:t>
      </w:r>
      <w:r w:rsidR="00A83EBE" w:rsidRPr="00B30EBD">
        <w:rPr>
          <w:rFonts w:ascii="Times New Roman" w:hAnsi="Times New Roman" w:cs="Times New Roman"/>
          <w:color w:val="000000"/>
          <w:sz w:val="24"/>
          <w:szCs w:val="24"/>
          <w:lang w:val="en-ZA"/>
        </w:rPr>
        <w:t> and </w:t>
      </w:r>
      <w:r w:rsidR="00A83EBE" w:rsidRPr="00B30EBD">
        <w:rPr>
          <w:rStyle w:val="Strong"/>
          <w:rFonts w:ascii="Times New Roman" w:hAnsi="Times New Roman" w:cs="Times New Roman"/>
          <w:b w:val="0"/>
          <w:color w:val="000000"/>
          <w:sz w:val="24"/>
          <w:szCs w:val="24"/>
          <w:lang w:val="en-ZA"/>
        </w:rPr>
        <w:t>social protection</w:t>
      </w:r>
      <w:r w:rsidR="00A83EBE" w:rsidRPr="00B30EBD">
        <w:rPr>
          <w:rFonts w:ascii="Times New Roman" w:hAnsi="Times New Roman" w:cs="Times New Roman"/>
          <w:color w:val="000000"/>
          <w:sz w:val="24"/>
          <w:szCs w:val="24"/>
          <w:lang w:val="en-ZA"/>
        </w:rPr>
        <w:t>, including a </w:t>
      </w:r>
      <w:r w:rsidR="00A83EBE" w:rsidRPr="00B30EBD">
        <w:rPr>
          <w:rStyle w:val="Strong"/>
          <w:rFonts w:ascii="Times New Roman" w:hAnsi="Times New Roman" w:cs="Times New Roman"/>
          <w:b w:val="0"/>
          <w:color w:val="000000"/>
          <w:sz w:val="24"/>
          <w:szCs w:val="24"/>
          <w:lang w:val="en-ZA"/>
        </w:rPr>
        <w:t>youth guarantee</w:t>
      </w:r>
      <w:r w:rsidR="00A83EBE" w:rsidRPr="00B30EBD">
        <w:rPr>
          <w:rFonts w:ascii="Times New Roman" w:hAnsi="Times New Roman" w:cs="Times New Roman"/>
          <w:color w:val="000000"/>
          <w:sz w:val="24"/>
          <w:szCs w:val="24"/>
          <w:lang w:val="en-ZA"/>
        </w:rPr>
        <w:t> to create job opportunities for young people</w:t>
      </w:r>
      <w:r w:rsidR="00A83EBE" w:rsidRPr="00B30EBD">
        <w:rPr>
          <w:rStyle w:val="FootnoteReference"/>
          <w:rFonts w:ascii="Times New Roman" w:hAnsi="Times New Roman" w:cs="Times New Roman"/>
          <w:color w:val="000000"/>
          <w:sz w:val="24"/>
          <w:szCs w:val="24"/>
          <w:lang w:val="en-ZA"/>
        </w:rPr>
        <w:footnoteReference w:id="5"/>
      </w:r>
      <w:r w:rsidR="00A83EBE" w:rsidRPr="00B30EBD">
        <w:rPr>
          <w:rFonts w:ascii="Times New Roman" w:hAnsi="Times New Roman" w:cs="Times New Roman"/>
          <w:color w:val="000000"/>
          <w:sz w:val="24"/>
          <w:szCs w:val="24"/>
          <w:lang w:val="en-ZA"/>
        </w:rPr>
        <w:t>.</w:t>
      </w:r>
      <w:r w:rsidR="00955613" w:rsidRPr="00B30EBD">
        <w:rPr>
          <w:rFonts w:ascii="Times New Roman" w:hAnsi="Times New Roman" w:cs="Times New Roman"/>
          <w:color w:val="000000"/>
          <w:sz w:val="24"/>
          <w:szCs w:val="24"/>
          <w:lang w:val="en-ZA"/>
        </w:rPr>
        <w:t xml:space="preserve"> </w:t>
      </w:r>
    </w:p>
    <w:p w:rsidR="00955613" w:rsidRPr="00B30EBD" w:rsidRDefault="00955613" w:rsidP="00294B0C">
      <w:pPr>
        <w:autoSpaceDE w:val="0"/>
        <w:autoSpaceDN w:val="0"/>
        <w:adjustRightInd w:val="0"/>
        <w:spacing w:after="0" w:line="240" w:lineRule="atLeast"/>
        <w:ind w:left="68"/>
        <w:jc w:val="both"/>
        <w:rPr>
          <w:rFonts w:ascii="Times New Roman" w:hAnsi="Times New Roman" w:cs="Times New Roman"/>
          <w:color w:val="000000"/>
          <w:sz w:val="24"/>
          <w:szCs w:val="24"/>
          <w:lang w:val="en-ZA"/>
        </w:rPr>
      </w:pPr>
    </w:p>
    <w:p w:rsidR="00A931FE" w:rsidRDefault="00631AEA" w:rsidP="00294B0C">
      <w:pPr>
        <w:autoSpaceDE w:val="0"/>
        <w:autoSpaceDN w:val="0"/>
        <w:adjustRightInd w:val="0"/>
        <w:spacing w:after="0" w:line="240" w:lineRule="atLeast"/>
        <w:ind w:left="68"/>
        <w:jc w:val="both"/>
        <w:rPr>
          <w:rFonts w:ascii="Times New Roman" w:hAnsi="Times New Roman" w:cs="Times New Roman"/>
          <w:sz w:val="24"/>
          <w:szCs w:val="24"/>
          <w:lang w:val="en-MY"/>
        </w:rPr>
      </w:pPr>
      <w:r>
        <w:rPr>
          <w:rFonts w:ascii="Times New Roman" w:hAnsi="Times New Roman" w:cs="Times New Roman"/>
          <w:color w:val="000000"/>
          <w:sz w:val="24"/>
          <w:szCs w:val="24"/>
          <w:lang w:val="en-MY"/>
        </w:rPr>
        <w:t xml:space="preserve">The </w:t>
      </w:r>
      <w:r w:rsidR="00C57271" w:rsidRPr="00C57271">
        <w:rPr>
          <w:rFonts w:ascii="Times New Roman" w:hAnsi="Times New Roman" w:cs="Times New Roman"/>
          <w:i/>
          <w:color w:val="000000"/>
          <w:sz w:val="24"/>
          <w:szCs w:val="24"/>
          <w:lang w:val="en-MY"/>
        </w:rPr>
        <w:t xml:space="preserve">Economic and </w:t>
      </w:r>
      <w:r w:rsidR="00955613" w:rsidRPr="00C57271">
        <w:rPr>
          <w:rFonts w:ascii="Times New Roman" w:hAnsi="Times New Roman" w:cs="Times New Roman"/>
          <w:i/>
          <w:color w:val="000000"/>
          <w:sz w:val="24"/>
          <w:szCs w:val="24"/>
          <w:lang w:val="en-MY"/>
        </w:rPr>
        <w:t>Investment Plan for the Western Balkans</w:t>
      </w:r>
      <w:r w:rsidR="00955613" w:rsidRPr="00A931FE">
        <w:rPr>
          <w:rFonts w:ascii="Times New Roman" w:hAnsi="Times New Roman" w:cs="Times New Roman"/>
          <w:color w:val="000000"/>
          <w:sz w:val="24"/>
          <w:szCs w:val="24"/>
          <w:lang w:val="en-MY"/>
        </w:rPr>
        <w:t xml:space="preserve"> </w:t>
      </w:r>
      <w:r>
        <w:rPr>
          <w:rFonts w:ascii="Times New Roman" w:hAnsi="Times New Roman" w:cs="Times New Roman"/>
          <w:color w:val="000000"/>
          <w:sz w:val="24"/>
          <w:szCs w:val="24"/>
          <w:lang w:val="en-MY"/>
        </w:rPr>
        <w:t xml:space="preserve">was </w:t>
      </w:r>
      <w:r w:rsidR="00955613" w:rsidRPr="00A931FE">
        <w:rPr>
          <w:rFonts w:ascii="Times New Roman" w:hAnsi="Times New Roman" w:cs="Times New Roman"/>
          <w:color w:val="000000"/>
          <w:sz w:val="24"/>
          <w:szCs w:val="24"/>
          <w:lang w:val="en-MY"/>
        </w:rPr>
        <w:t>accompanied with the G</w:t>
      </w:r>
      <w:r w:rsidR="00955613" w:rsidRPr="00A931FE">
        <w:rPr>
          <w:rFonts w:ascii="Times New Roman" w:hAnsi="Times New Roman" w:cs="Times New Roman"/>
          <w:bCs/>
          <w:i/>
          <w:iCs/>
          <w:sz w:val="24"/>
          <w:szCs w:val="24"/>
          <w:lang w:val="en-MY"/>
        </w:rPr>
        <w:t>reen Agenda for the Western Balkans</w:t>
      </w:r>
      <w:r w:rsidR="005A4D1D">
        <w:rPr>
          <w:rFonts w:ascii="Times New Roman" w:hAnsi="Times New Roman" w:cs="Times New Roman"/>
          <w:bCs/>
          <w:i/>
          <w:iCs/>
          <w:sz w:val="24"/>
          <w:szCs w:val="24"/>
          <w:lang w:val="en-MY"/>
        </w:rPr>
        <w:t xml:space="preserve"> </w:t>
      </w:r>
      <w:r w:rsidR="005A4D1D" w:rsidRPr="005A4D1D">
        <w:rPr>
          <w:rFonts w:ascii="Times New Roman" w:hAnsi="Times New Roman" w:cs="Times New Roman"/>
          <w:bCs/>
          <w:iCs/>
          <w:sz w:val="24"/>
          <w:szCs w:val="24"/>
          <w:lang w:val="en-MY"/>
        </w:rPr>
        <w:t>(GAWB)</w:t>
      </w:r>
      <w:r w:rsidR="00955613" w:rsidRPr="005A4D1D">
        <w:rPr>
          <w:rFonts w:ascii="Times New Roman" w:hAnsi="Times New Roman" w:cs="Times New Roman"/>
          <w:bCs/>
          <w:iCs/>
          <w:sz w:val="24"/>
          <w:szCs w:val="24"/>
          <w:lang w:val="en-MY"/>
        </w:rPr>
        <w:t>.</w:t>
      </w:r>
      <w:r w:rsidR="00955613" w:rsidRPr="00A931FE">
        <w:rPr>
          <w:rFonts w:ascii="Times New Roman" w:hAnsi="Times New Roman" w:cs="Times New Roman"/>
          <w:bCs/>
          <w:i/>
          <w:iCs/>
          <w:sz w:val="24"/>
          <w:szCs w:val="24"/>
          <w:lang w:val="en-MY"/>
        </w:rPr>
        <w:t xml:space="preserve"> </w:t>
      </w:r>
      <w:r w:rsidR="00955613" w:rsidRPr="00A931FE">
        <w:rPr>
          <w:rFonts w:ascii="Times New Roman" w:hAnsi="Times New Roman" w:cs="Times New Roman"/>
          <w:bCs/>
          <w:iCs/>
          <w:sz w:val="24"/>
          <w:szCs w:val="24"/>
          <w:lang w:val="en-MY"/>
        </w:rPr>
        <w:t xml:space="preserve">Based on the approach of </w:t>
      </w:r>
      <w:r>
        <w:rPr>
          <w:rFonts w:ascii="Times New Roman" w:hAnsi="Times New Roman" w:cs="Times New Roman"/>
          <w:bCs/>
          <w:iCs/>
          <w:sz w:val="24"/>
          <w:szCs w:val="24"/>
          <w:lang w:val="en-MY"/>
        </w:rPr>
        <w:t xml:space="preserve">the </w:t>
      </w:r>
      <w:r w:rsidR="00955613" w:rsidRPr="00A931FE">
        <w:rPr>
          <w:rFonts w:ascii="Times New Roman" w:hAnsi="Times New Roman" w:cs="Times New Roman"/>
          <w:bCs/>
          <w:iCs/>
          <w:sz w:val="24"/>
          <w:szCs w:val="24"/>
          <w:lang w:val="en-MY"/>
        </w:rPr>
        <w:t xml:space="preserve">EGD, </w:t>
      </w:r>
      <w:r w:rsidR="00B30EBD">
        <w:rPr>
          <w:rFonts w:ascii="Times New Roman" w:hAnsi="Times New Roman" w:cs="Times New Roman"/>
          <w:bCs/>
          <w:iCs/>
          <w:sz w:val="24"/>
          <w:szCs w:val="24"/>
          <w:lang w:val="en-MY"/>
        </w:rPr>
        <w:t xml:space="preserve">the document </w:t>
      </w:r>
      <w:r w:rsidR="00955613" w:rsidRPr="00A931FE">
        <w:rPr>
          <w:rFonts w:ascii="Times New Roman" w:hAnsi="Times New Roman" w:cs="Times New Roman"/>
          <w:bCs/>
          <w:iCs/>
          <w:sz w:val="24"/>
          <w:szCs w:val="24"/>
          <w:lang w:val="en-MY"/>
        </w:rPr>
        <w:t>sets out</w:t>
      </w:r>
      <w:r w:rsidR="00955613" w:rsidRPr="00A931FE">
        <w:rPr>
          <w:rFonts w:ascii="Times New Roman" w:hAnsi="Times New Roman" w:cs="Times New Roman"/>
          <w:b/>
          <w:bCs/>
          <w:iCs/>
          <w:sz w:val="24"/>
          <w:szCs w:val="24"/>
          <w:lang w:val="en-MY"/>
        </w:rPr>
        <w:t xml:space="preserve"> </w:t>
      </w:r>
      <w:r w:rsidR="00955613" w:rsidRPr="00A931FE">
        <w:rPr>
          <w:rFonts w:ascii="Times New Roman" w:hAnsi="Times New Roman" w:cs="Times New Roman"/>
          <w:sz w:val="24"/>
          <w:szCs w:val="24"/>
          <w:lang w:val="en-MY"/>
        </w:rPr>
        <w:t xml:space="preserve">relevant actions and recommendations, in the following five areas: </w:t>
      </w:r>
      <w:r w:rsidR="00A83EBE" w:rsidRPr="00A931FE">
        <w:rPr>
          <w:rFonts w:ascii="Times New Roman" w:hAnsi="Times New Roman" w:cs="Times New Roman"/>
          <w:sz w:val="24"/>
          <w:szCs w:val="24"/>
          <w:lang w:val="en-MY"/>
        </w:rPr>
        <w:t>(</w:t>
      </w:r>
      <w:r w:rsidR="00955613" w:rsidRPr="00A931FE">
        <w:rPr>
          <w:rFonts w:ascii="Times New Roman" w:hAnsi="Times New Roman" w:cs="Times New Roman"/>
          <w:sz w:val="24"/>
          <w:szCs w:val="24"/>
          <w:lang w:val="en-MY"/>
        </w:rPr>
        <w:t>i</w:t>
      </w:r>
      <w:r w:rsidR="00A83EBE" w:rsidRPr="00A931FE">
        <w:rPr>
          <w:rFonts w:ascii="Times New Roman" w:hAnsi="Times New Roman" w:cs="Times New Roman"/>
          <w:sz w:val="24"/>
          <w:szCs w:val="24"/>
          <w:lang w:val="en-MY"/>
        </w:rPr>
        <w:t>) climate action, including decarbonisation, energy and mobility, (</w:t>
      </w:r>
      <w:r w:rsidR="00955613" w:rsidRPr="00A931FE">
        <w:rPr>
          <w:rFonts w:ascii="Times New Roman" w:hAnsi="Times New Roman" w:cs="Times New Roman"/>
          <w:sz w:val="24"/>
          <w:szCs w:val="24"/>
          <w:lang w:val="en-MY"/>
        </w:rPr>
        <w:t>ii</w:t>
      </w:r>
      <w:r w:rsidR="00A83EBE" w:rsidRPr="00A931FE">
        <w:rPr>
          <w:rFonts w:ascii="Times New Roman" w:hAnsi="Times New Roman" w:cs="Times New Roman"/>
          <w:sz w:val="24"/>
          <w:szCs w:val="24"/>
          <w:lang w:val="en-MY"/>
        </w:rPr>
        <w:t>) circular economy, addressing in particular waste, recycling, sustainable production and efficient use of resources, (</w:t>
      </w:r>
      <w:r w:rsidR="00955613" w:rsidRPr="00A931FE">
        <w:rPr>
          <w:rFonts w:ascii="Times New Roman" w:hAnsi="Times New Roman" w:cs="Times New Roman"/>
          <w:sz w:val="24"/>
          <w:szCs w:val="24"/>
          <w:lang w:val="en-MY"/>
        </w:rPr>
        <w:t>iii)</w:t>
      </w:r>
      <w:r w:rsidR="00A83EBE" w:rsidRPr="00A931FE">
        <w:rPr>
          <w:rFonts w:ascii="Times New Roman" w:hAnsi="Times New Roman" w:cs="Times New Roman"/>
          <w:sz w:val="24"/>
          <w:szCs w:val="24"/>
          <w:lang w:val="en-MY"/>
        </w:rPr>
        <w:t xml:space="preserve"> biodiversity, aiming to protect and restore the natural wealth of the region, (</w:t>
      </w:r>
      <w:r w:rsidR="00955613" w:rsidRPr="00A931FE">
        <w:rPr>
          <w:rFonts w:ascii="Times New Roman" w:hAnsi="Times New Roman" w:cs="Times New Roman"/>
          <w:sz w:val="24"/>
          <w:szCs w:val="24"/>
          <w:lang w:val="en-MY"/>
        </w:rPr>
        <w:t>iv</w:t>
      </w:r>
      <w:r w:rsidR="00A83EBE" w:rsidRPr="00A931FE">
        <w:rPr>
          <w:rFonts w:ascii="Times New Roman" w:hAnsi="Times New Roman" w:cs="Times New Roman"/>
          <w:sz w:val="24"/>
          <w:szCs w:val="24"/>
          <w:lang w:val="en-MY"/>
        </w:rPr>
        <w:t>) fighting pollution of air, water and soil and (</w:t>
      </w:r>
      <w:r w:rsidR="00A931FE" w:rsidRPr="00A931FE">
        <w:rPr>
          <w:rFonts w:ascii="Times New Roman" w:hAnsi="Times New Roman" w:cs="Times New Roman"/>
          <w:sz w:val="24"/>
          <w:szCs w:val="24"/>
          <w:lang w:val="en-MY"/>
        </w:rPr>
        <w:t>v</w:t>
      </w:r>
      <w:r w:rsidR="00A83EBE" w:rsidRPr="00A931FE">
        <w:rPr>
          <w:rFonts w:ascii="Times New Roman" w:hAnsi="Times New Roman" w:cs="Times New Roman"/>
          <w:sz w:val="24"/>
          <w:szCs w:val="24"/>
          <w:lang w:val="en-MY"/>
        </w:rPr>
        <w:t xml:space="preserve">) sustainable food systems and rural areas. </w:t>
      </w:r>
    </w:p>
    <w:p w:rsidR="00937DDD" w:rsidRDefault="00937DDD" w:rsidP="00294B0C">
      <w:pPr>
        <w:autoSpaceDE w:val="0"/>
        <w:autoSpaceDN w:val="0"/>
        <w:adjustRightInd w:val="0"/>
        <w:spacing w:after="0" w:line="240" w:lineRule="atLeast"/>
        <w:ind w:left="68"/>
        <w:jc w:val="both"/>
        <w:rPr>
          <w:rFonts w:ascii="Times New Roman" w:hAnsi="Times New Roman" w:cs="Times New Roman"/>
          <w:sz w:val="24"/>
          <w:szCs w:val="24"/>
          <w:lang w:val="en-MY"/>
        </w:rPr>
      </w:pPr>
    </w:p>
    <w:p w:rsidR="00A931FE" w:rsidRPr="00A931FE" w:rsidRDefault="00A931FE" w:rsidP="00294B0C">
      <w:pPr>
        <w:autoSpaceDE w:val="0"/>
        <w:autoSpaceDN w:val="0"/>
        <w:adjustRightInd w:val="0"/>
        <w:spacing w:after="0" w:line="240" w:lineRule="atLeast"/>
        <w:ind w:left="68"/>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As far as digitalization is concerned, </w:t>
      </w:r>
      <w:r w:rsidR="00631AEA">
        <w:rPr>
          <w:rFonts w:ascii="Times New Roman" w:hAnsi="Times New Roman" w:cs="Times New Roman"/>
          <w:sz w:val="24"/>
          <w:szCs w:val="24"/>
          <w:lang w:val="en-MY"/>
        </w:rPr>
        <w:t xml:space="preserve">the </w:t>
      </w:r>
      <w:r w:rsidR="00C57271" w:rsidRPr="00C57271">
        <w:rPr>
          <w:rFonts w:ascii="Times New Roman" w:hAnsi="Times New Roman" w:cs="Times New Roman"/>
          <w:i/>
          <w:sz w:val="24"/>
          <w:szCs w:val="24"/>
          <w:lang w:val="en-MY"/>
        </w:rPr>
        <w:t xml:space="preserve">Economic and </w:t>
      </w:r>
      <w:r w:rsidRPr="00C57271">
        <w:rPr>
          <w:rFonts w:ascii="Times New Roman" w:hAnsi="Times New Roman" w:cs="Times New Roman"/>
          <w:i/>
          <w:color w:val="000000"/>
          <w:sz w:val="24"/>
          <w:szCs w:val="24"/>
          <w:lang w:val="en-MY"/>
        </w:rPr>
        <w:t>Investment Plan for the Western Balkans</w:t>
      </w:r>
      <w:r>
        <w:rPr>
          <w:rFonts w:ascii="Times New Roman" w:hAnsi="Times New Roman" w:cs="Times New Roman"/>
          <w:color w:val="000000"/>
          <w:sz w:val="24"/>
          <w:szCs w:val="24"/>
          <w:lang w:val="en-MY"/>
        </w:rPr>
        <w:t xml:space="preserve"> identifies </w:t>
      </w:r>
      <w:r w:rsidR="005A4D1D">
        <w:rPr>
          <w:rFonts w:ascii="Times New Roman" w:hAnsi="Times New Roman" w:cs="Times New Roman"/>
          <w:color w:val="000000"/>
          <w:sz w:val="24"/>
          <w:szCs w:val="24"/>
          <w:lang w:val="en-MY"/>
        </w:rPr>
        <w:t xml:space="preserve">digital transformation </w:t>
      </w:r>
      <w:r>
        <w:rPr>
          <w:rFonts w:ascii="Times New Roman" w:hAnsi="Times New Roman" w:cs="Times New Roman"/>
          <w:color w:val="000000"/>
          <w:sz w:val="24"/>
          <w:szCs w:val="24"/>
          <w:lang w:val="en-MY"/>
        </w:rPr>
        <w:t xml:space="preserve">as a key enabler for the five </w:t>
      </w:r>
      <w:r w:rsidR="005A4D1D">
        <w:rPr>
          <w:rFonts w:ascii="Times New Roman" w:hAnsi="Times New Roman" w:cs="Times New Roman"/>
          <w:color w:val="000000"/>
          <w:sz w:val="24"/>
          <w:szCs w:val="24"/>
          <w:lang w:val="en-MY"/>
        </w:rPr>
        <w:t xml:space="preserve">GAWB </w:t>
      </w:r>
      <w:r>
        <w:rPr>
          <w:rFonts w:ascii="Times New Roman" w:hAnsi="Times New Roman" w:cs="Times New Roman"/>
          <w:color w:val="000000"/>
          <w:sz w:val="24"/>
          <w:szCs w:val="24"/>
          <w:lang w:val="en-MY"/>
        </w:rPr>
        <w:t xml:space="preserve">areas </w:t>
      </w:r>
      <w:r w:rsidR="005A4D1D">
        <w:rPr>
          <w:rFonts w:ascii="Times New Roman" w:hAnsi="Times New Roman" w:cs="Times New Roman"/>
          <w:color w:val="000000"/>
          <w:sz w:val="24"/>
          <w:szCs w:val="24"/>
          <w:lang w:val="en-MY"/>
        </w:rPr>
        <w:t xml:space="preserve">that is fully in </w:t>
      </w:r>
      <w:r>
        <w:rPr>
          <w:rFonts w:ascii="Times New Roman" w:hAnsi="Times New Roman" w:cs="Times New Roman"/>
          <w:color w:val="000000"/>
          <w:sz w:val="24"/>
          <w:szCs w:val="24"/>
          <w:lang w:val="en-MY"/>
        </w:rPr>
        <w:t xml:space="preserve">line with the concept of dual green and digital transition. </w:t>
      </w:r>
      <w:r w:rsidR="00631AEA" w:rsidRPr="004A6CCC">
        <w:rPr>
          <w:rFonts w:ascii="Times New Roman" w:hAnsi="Times New Roman" w:cs="Times New Roman"/>
          <w:color w:val="000000"/>
          <w:sz w:val="24"/>
          <w:szCs w:val="24"/>
          <w:lang w:val="en-MY"/>
        </w:rPr>
        <w:t>The Plan</w:t>
      </w:r>
      <w:r w:rsidR="00631AEA">
        <w:rPr>
          <w:rFonts w:ascii="Times New Roman" w:hAnsi="Times New Roman" w:cs="Times New Roman"/>
          <w:color w:val="000000"/>
          <w:sz w:val="24"/>
          <w:szCs w:val="24"/>
          <w:lang w:val="en-MY"/>
        </w:rPr>
        <w:t xml:space="preserve"> </w:t>
      </w:r>
      <w:r>
        <w:rPr>
          <w:rFonts w:ascii="Times New Roman" w:hAnsi="Times New Roman" w:cs="Times New Roman"/>
          <w:color w:val="000000"/>
          <w:sz w:val="24"/>
          <w:szCs w:val="24"/>
          <w:lang w:val="en-MY"/>
        </w:rPr>
        <w:t xml:space="preserve">argues that </w:t>
      </w:r>
      <w:r w:rsidRPr="00A931FE">
        <w:rPr>
          <w:rFonts w:ascii="Times New Roman" w:hAnsi="Times New Roman" w:cs="Times New Roman"/>
          <w:sz w:val="24"/>
          <w:szCs w:val="24"/>
          <w:lang w:val="en-MY"/>
        </w:rPr>
        <w:t xml:space="preserve">the Western Balkans should use the EU’s </w:t>
      </w:r>
      <w:r w:rsidRPr="00A931FE">
        <w:rPr>
          <w:rFonts w:ascii="Times New Roman" w:hAnsi="Times New Roman" w:cs="Times New Roman"/>
          <w:bCs/>
          <w:sz w:val="24"/>
          <w:szCs w:val="24"/>
          <w:lang w:val="en-MY"/>
        </w:rPr>
        <w:t>digital strategy</w:t>
      </w:r>
      <w:r w:rsidRPr="00A931FE">
        <w:rPr>
          <w:rFonts w:ascii="Times New Roman" w:hAnsi="Times New Roman" w:cs="Times New Roman"/>
          <w:sz w:val="24"/>
          <w:szCs w:val="24"/>
          <w:lang w:val="en-MY"/>
        </w:rPr>
        <w:t xml:space="preserve"> as the guiding principle for a human-centric digital transformation of their economies and societies. This will make them better positioned to integrate into the EU’s higher added-value supply chains and, in the future, join a rapidly evolving EU digital single market. Building on the 2018 </w:t>
      </w:r>
      <w:r w:rsidRPr="00C57271">
        <w:rPr>
          <w:rFonts w:ascii="Times New Roman" w:hAnsi="Times New Roman" w:cs="Times New Roman"/>
          <w:i/>
          <w:sz w:val="24"/>
          <w:szCs w:val="24"/>
          <w:lang w:val="en-MY"/>
        </w:rPr>
        <w:t>Digital Agenda for the Western Balkans</w:t>
      </w:r>
      <w:r w:rsidRPr="00A931FE">
        <w:rPr>
          <w:rFonts w:ascii="Times New Roman" w:hAnsi="Times New Roman" w:cs="Times New Roman"/>
          <w:sz w:val="24"/>
          <w:szCs w:val="24"/>
          <w:lang w:val="en-MY"/>
        </w:rPr>
        <w:t>, this investment plan offers an opportunity to accelerate the digitalisation of governments, public services and businesses, in a manner consistent with the EU’s values and legal framework</w:t>
      </w:r>
      <w:r>
        <w:rPr>
          <w:rStyle w:val="FootnoteReference"/>
          <w:rFonts w:ascii="Times New Roman" w:hAnsi="Times New Roman" w:cs="Times New Roman"/>
          <w:sz w:val="24"/>
          <w:szCs w:val="24"/>
          <w:lang w:val="en-MY"/>
        </w:rPr>
        <w:footnoteReference w:id="6"/>
      </w:r>
      <w:r w:rsidR="00631AEA">
        <w:rPr>
          <w:rFonts w:ascii="Times New Roman" w:hAnsi="Times New Roman" w:cs="Times New Roman"/>
          <w:sz w:val="24"/>
          <w:szCs w:val="24"/>
          <w:lang w:val="en-MY"/>
        </w:rPr>
        <w:t>.</w:t>
      </w:r>
    </w:p>
    <w:p w:rsidR="00A931FE" w:rsidRDefault="00A931FE" w:rsidP="00294B0C">
      <w:pPr>
        <w:autoSpaceDE w:val="0"/>
        <w:autoSpaceDN w:val="0"/>
        <w:adjustRightInd w:val="0"/>
        <w:spacing w:after="0" w:line="240" w:lineRule="atLeast"/>
        <w:ind w:left="68"/>
        <w:jc w:val="both"/>
        <w:rPr>
          <w:rFonts w:ascii="Times New Roman" w:hAnsi="Times New Roman" w:cs="Times New Roman"/>
          <w:sz w:val="24"/>
          <w:szCs w:val="24"/>
          <w:lang w:val="en-MY"/>
        </w:rPr>
      </w:pPr>
    </w:p>
    <w:p w:rsidR="00C748E1" w:rsidRDefault="00631AEA" w:rsidP="00294B0C">
      <w:pPr>
        <w:autoSpaceDE w:val="0"/>
        <w:autoSpaceDN w:val="0"/>
        <w:adjustRightInd w:val="0"/>
        <w:spacing w:after="0" w:line="240" w:lineRule="atLeast"/>
        <w:ind w:left="68"/>
        <w:jc w:val="both"/>
        <w:rPr>
          <w:rFonts w:ascii="Times New Roman" w:hAnsi="Times New Roman" w:cs="Times New Roman"/>
          <w:sz w:val="24"/>
          <w:szCs w:val="24"/>
          <w:lang w:val="en-PH"/>
        </w:rPr>
      </w:pPr>
      <w:r>
        <w:rPr>
          <w:rFonts w:ascii="Times New Roman" w:hAnsi="Times New Roman" w:cs="Times New Roman"/>
          <w:sz w:val="24"/>
          <w:szCs w:val="24"/>
          <w:lang w:val="en-PH"/>
        </w:rPr>
        <w:lastRenderedPageBreak/>
        <w:t xml:space="preserve">When talking about trickling down of the EU’s new development </w:t>
      </w:r>
      <w:r w:rsidR="00C87BCE">
        <w:rPr>
          <w:rFonts w:ascii="Times New Roman" w:hAnsi="Times New Roman" w:cs="Times New Roman"/>
          <w:sz w:val="24"/>
          <w:szCs w:val="24"/>
          <w:lang w:val="en-PH"/>
        </w:rPr>
        <w:t>strategy</w:t>
      </w:r>
      <w:r>
        <w:rPr>
          <w:rFonts w:ascii="Times New Roman" w:hAnsi="Times New Roman" w:cs="Times New Roman"/>
          <w:sz w:val="24"/>
          <w:szCs w:val="24"/>
          <w:lang w:val="en-PH"/>
        </w:rPr>
        <w:t xml:space="preserve"> </w:t>
      </w:r>
      <w:r w:rsidR="005A4D1D">
        <w:rPr>
          <w:rFonts w:ascii="Times New Roman" w:hAnsi="Times New Roman" w:cs="Times New Roman"/>
          <w:sz w:val="24"/>
          <w:szCs w:val="24"/>
          <w:lang w:val="en-PH"/>
        </w:rPr>
        <w:t xml:space="preserve">to the </w:t>
      </w:r>
      <w:r>
        <w:rPr>
          <w:rFonts w:ascii="Times New Roman" w:hAnsi="Times New Roman" w:cs="Times New Roman"/>
          <w:sz w:val="24"/>
          <w:szCs w:val="24"/>
          <w:lang w:val="en-PH"/>
        </w:rPr>
        <w:t>EU candidate countr</w:t>
      </w:r>
      <w:r w:rsidR="005A4D1D">
        <w:rPr>
          <w:rFonts w:ascii="Times New Roman" w:hAnsi="Times New Roman" w:cs="Times New Roman"/>
          <w:sz w:val="24"/>
          <w:szCs w:val="24"/>
          <w:lang w:val="en-PH"/>
        </w:rPr>
        <w:t xml:space="preserve">ies </w:t>
      </w:r>
      <w:r>
        <w:rPr>
          <w:rFonts w:ascii="Times New Roman" w:hAnsi="Times New Roman" w:cs="Times New Roman"/>
          <w:sz w:val="24"/>
          <w:szCs w:val="24"/>
          <w:lang w:val="en-PH"/>
        </w:rPr>
        <w:t xml:space="preserve">in the region, this process </w:t>
      </w:r>
      <w:r w:rsidR="005A4D1D">
        <w:rPr>
          <w:rFonts w:ascii="Times New Roman" w:hAnsi="Times New Roman" w:cs="Times New Roman"/>
          <w:sz w:val="24"/>
          <w:szCs w:val="24"/>
          <w:lang w:val="en-PH"/>
        </w:rPr>
        <w:t>is already under way and will continue primarily through the following two c</w:t>
      </w:r>
      <w:r>
        <w:rPr>
          <w:rFonts w:ascii="Times New Roman" w:hAnsi="Times New Roman" w:cs="Times New Roman"/>
          <w:sz w:val="24"/>
          <w:szCs w:val="24"/>
          <w:lang w:val="en-PH"/>
        </w:rPr>
        <w:t xml:space="preserve">hannels: </w:t>
      </w:r>
      <w:r w:rsidR="00A3559D">
        <w:rPr>
          <w:rFonts w:ascii="Times New Roman" w:hAnsi="Times New Roman" w:cs="Times New Roman"/>
          <w:sz w:val="24"/>
          <w:szCs w:val="24"/>
          <w:lang w:val="en-PH"/>
        </w:rPr>
        <w:t xml:space="preserve"> </w:t>
      </w:r>
      <w:r w:rsidR="00C748E1">
        <w:rPr>
          <w:rFonts w:ascii="Times New Roman" w:hAnsi="Times New Roman" w:cs="Times New Roman"/>
          <w:sz w:val="24"/>
          <w:szCs w:val="24"/>
          <w:lang w:val="en-PH"/>
        </w:rPr>
        <w:t xml:space="preserve"> </w:t>
      </w:r>
    </w:p>
    <w:p w:rsidR="00C748E1" w:rsidRDefault="00C748E1" w:rsidP="00294B0C">
      <w:pPr>
        <w:autoSpaceDE w:val="0"/>
        <w:autoSpaceDN w:val="0"/>
        <w:adjustRightInd w:val="0"/>
        <w:spacing w:after="0" w:line="240" w:lineRule="atLeast"/>
        <w:ind w:left="68"/>
        <w:jc w:val="both"/>
        <w:rPr>
          <w:rFonts w:ascii="Times New Roman" w:hAnsi="Times New Roman" w:cs="Times New Roman"/>
          <w:sz w:val="24"/>
          <w:szCs w:val="24"/>
          <w:lang w:val="en-PH"/>
        </w:rPr>
      </w:pPr>
    </w:p>
    <w:p w:rsidR="00173474" w:rsidRPr="00882233" w:rsidRDefault="00882233" w:rsidP="00882233">
      <w:pPr>
        <w:autoSpaceDE w:val="0"/>
        <w:autoSpaceDN w:val="0"/>
        <w:adjustRightInd w:val="0"/>
        <w:spacing w:after="0" w:line="240" w:lineRule="atLeast"/>
        <w:ind w:left="66"/>
        <w:jc w:val="both"/>
        <w:rPr>
          <w:rFonts w:ascii="Times New Roman" w:hAnsi="Times New Roman" w:cs="Times New Roman"/>
          <w:sz w:val="24"/>
          <w:szCs w:val="24"/>
          <w:lang w:val="en-PH"/>
        </w:rPr>
      </w:pPr>
      <w:r w:rsidRPr="00882233">
        <w:rPr>
          <w:rFonts w:ascii="Times New Roman" w:hAnsi="Times New Roman" w:cs="Times New Roman"/>
          <w:sz w:val="24"/>
          <w:szCs w:val="24"/>
          <w:lang w:val="en-PH"/>
        </w:rPr>
        <w:t>The first channel is h</w:t>
      </w:r>
      <w:r w:rsidR="00631AEA" w:rsidRPr="00882233">
        <w:rPr>
          <w:rFonts w:ascii="Times New Roman" w:hAnsi="Times New Roman" w:cs="Times New Roman"/>
          <w:sz w:val="24"/>
          <w:szCs w:val="24"/>
          <w:lang w:val="en-PH"/>
        </w:rPr>
        <w:t xml:space="preserve">armonization and implementation of broadened </w:t>
      </w:r>
      <w:r w:rsidR="00B17816" w:rsidRPr="00882233">
        <w:rPr>
          <w:rFonts w:ascii="Times New Roman" w:hAnsi="Times New Roman" w:cs="Times New Roman"/>
          <w:sz w:val="24"/>
          <w:szCs w:val="24"/>
          <w:lang w:val="en-PH"/>
        </w:rPr>
        <w:t xml:space="preserve">and deepened EU </w:t>
      </w:r>
      <w:r w:rsidR="00C748E1" w:rsidRPr="00882233">
        <w:rPr>
          <w:rFonts w:ascii="Times New Roman" w:hAnsi="Times New Roman" w:cs="Times New Roman"/>
          <w:sz w:val="24"/>
          <w:szCs w:val="24"/>
          <w:lang w:val="en-PH"/>
        </w:rPr>
        <w:t>legislation</w:t>
      </w:r>
      <w:r w:rsidRPr="00882233">
        <w:rPr>
          <w:rFonts w:ascii="Times New Roman" w:hAnsi="Times New Roman" w:cs="Times New Roman"/>
          <w:sz w:val="24"/>
          <w:szCs w:val="24"/>
          <w:lang w:val="en-PH"/>
        </w:rPr>
        <w:t xml:space="preserve">. </w:t>
      </w:r>
      <w:r w:rsidR="00B17816" w:rsidRPr="00882233">
        <w:rPr>
          <w:rFonts w:ascii="Times New Roman" w:hAnsi="Times New Roman" w:cs="Times New Roman"/>
          <w:sz w:val="24"/>
          <w:szCs w:val="24"/>
          <w:lang w:val="en-PH"/>
        </w:rPr>
        <w:t xml:space="preserve">As presented in the </w:t>
      </w:r>
      <w:r w:rsidR="00B2180B" w:rsidRPr="008901E3">
        <w:rPr>
          <w:rFonts w:ascii="Times New Roman" w:hAnsi="Times New Roman" w:cs="Times New Roman"/>
          <w:i/>
          <w:sz w:val="24"/>
          <w:szCs w:val="24"/>
          <w:lang w:val="en-PH"/>
        </w:rPr>
        <w:t>s</w:t>
      </w:r>
      <w:r w:rsidR="00B17816" w:rsidRPr="008901E3">
        <w:rPr>
          <w:rFonts w:ascii="Times New Roman" w:hAnsi="Times New Roman" w:cs="Times New Roman"/>
          <w:i/>
          <w:sz w:val="24"/>
          <w:szCs w:val="24"/>
          <w:lang w:val="en-PH"/>
        </w:rPr>
        <w:t>ub-chapter</w:t>
      </w:r>
      <w:r w:rsidR="00B2180B" w:rsidRPr="008901E3">
        <w:rPr>
          <w:rFonts w:ascii="Times New Roman" w:hAnsi="Times New Roman" w:cs="Times New Roman"/>
          <w:i/>
          <w:sz w:val="24"/>
          <w:szCs w:val="24"/>
          <w:lang w:val="en-PH"/>
        </w:rPr>
        <w:t xml:space="preserve"> 2.1.</w:t>
      </w:r>
      <w:r w:rsidR="00B17816" w:rsidRPr="00882233">
        <w:rPr>
          <w:rFonts w:ascii="Times New Roman" w:hAnsi="Times New Roman" w:cs="Times New Roman"/>
          <w:sz w:val="24"/>
          <w:szCs w:val="24"/>
          <w:lang w:val="en-PH"/>
        </w:rPr>
        <w:t xml:space="preserve">, implementation of </w:t>
      </w:r>
      <w:r w:rsidR="00B2180B" w:rsidRPr="00882233">
        <w:rPr>
          <w:rFonts w:ascii="Times New Roman" w:hAnsi="Times New Roman" w:cs="Times New Roman"/>
          <w:sz w:val="24"/>
          <w:szCs w:val="24"/>
          <w:lang w:val="en-PH"/>
        </w:rPr>
        <w:t xml:space="preserve">the </w:t>
      </w:r>
      <w:r w:rsidR="00B17816" w:rsidRPr="00882233">
        <w:rPr>
          <w:rFonts w:ascii="Times New Roman" w:hAnsi="Times New Roman" w:cs="Times New Roman"/>
          <w:sz w:val="24"/>
          <w:szCs w:val="24"/>
          <w:lang w:val="en-PH"/>
        </w:rPr>
        <w:t>EDG and EDA objectives will require overwhelming regulatory reforms</w:t>
      </w:r>
      <w:r w:rsidR="00E46504" w:rsidRPr="00882233">
        <w:rPr>
          <w:rFonts w:ascii="Times New Roman" w:hAnsi="Times New Roman" w:cs="Times New Roman"/>
          <w:sz w:val="24"/>
          <w:szCs w:val="24"/>
          <w:lang w:val="en-PH"/>
        </w:rPr>
        <w:t xml:space="preserve"> within </w:t>
      </w:r>
      <w:r w:rsidR="00173474" w:rsidRPr="00882233">
        <w:rPr>
          <w:rFonts w:ascii="Times New Roman" w:hAnsi="Times New Roman" w:cs="Times New Roman"/>
          <w:sz w:val="24"/>
          <w:szCs w:val="24"/>
          <w:lang w:val="en-PH"/>
        </w:rPr>
        <w:t xml:space="preserve">the </w:t>
      </w:r>
      <w:r w:rsidR="00E46504" w:rsidRPr="00882233">
        <w:rPr>
          <w:rFonts w:ascii="Times New Roman" w:hAnsi="Times New Roman" w:cs="Times New Roman"/>
          <w:sz w:val="24"/>
          <w:szCs w:val="24"/>
          <w:lang w:val="en-PH"/>
        </w:rPr>
        <w:t>EU</w:t>
      </w:r>
      <w:r w:rsidR="00173474" w:rsidRPr="00882233">
        <w:rPr>
          <w:rFonts w:ascii="Times New Roman" w:hAnsi="Times New Roman" w:cs="Times New Roman"/>
          <w:sz w:val="24"/>
          <w:szCs w:val="24"/>
          <w:lang w:val="en-PH"/>
        </w:rPr>
        <w:t xml:space="preserve">. This will be reflected in </w:t>
      </w:r>
      <w:r w:rsidR="00B2180B" w:rsidRPr="00882233">
        <w:rPr>
          <w:rFonts w:ascii="Times New Roman" w:hAnsi="Times New Roman" w:cs="Times New Roman"/>
          <w:sz w:val="24"/>
          <w:szCs w:val="24"/>
          <w:lang w:val="en-PH"/>
        </w:rPr>
        <w:t xml:space="preserve">the introduction </w:t>
      </w:r>
      <w:r w:rsidR="00173474" w:rsidRPr="00882233">
        <w:rPr>
          <w:rFonts w:ascii="Times New Roman" w:hAnsi="Times New Roman" w:cs="Times New Roman"/>
          <w:sz w:val="24"/>
          <w:szCs w:val="24"/>
          <w:lang w:val="en-PH"/>
        </w:rPr>
        <w:t xml:space="preserve">of new regulations and directives as the most important forms of the secondary level </w:t>
      </w:r>
      <w:r w:rsidR="00631AEA" w:rsidRPr="00882233">
        <w:rPr>
          <w:rFonts w:ascii="Times New Roman" w:hAnsi="Times New Roman" w:cs="Times New Roman"/>
          <w:sz w:val="24"/>
          <w:szCs w:val="24"/>
          <w:lang w:val="en-PH"/>
        </w:rPr>
        <w:t xml:space="preserve">EU </w:t>
      </w:r>
      <w:r w:rsidR="00173474" w:rsidRPr="00882233">
        <w:rPr>
          <w:rFonts w:ascii="Times New Roman" w:hAnsi="Times New Roman" w:cs="Times New Roman"/>
          <w:sz w:val="24"/>
          <w:szCs w:val="24"/>
          <w:lang w:val="en-PH"/>
        </w:rPr>
        <w:t xml:space="preserve">legislation. </w:t>
      </w:r>
      <w:r w:rsidR="00B17816" w:rsidRPr="00882233">
        <w:rPr>
          <w:rFonts w:ascii="Times New Roman" w:hAnsi="Times New Roman" w:cs="Times New Roman"/>
          <w:sz w:val="24"/>
          <w:szCs w:val="24"/>
          <w:lang w:val="en-PH"/>
        </w:rPr>
        <w:t xml:space="preserve">Consequently, the EU </w:t>
      </w:r>
      <w:r w:rsidR="00B17816" w:rsidRPr="00882233">
        <w:rPr>
          <w:rFonts w:ascii="Times New Roman" w:hAnsi="Times New Roman" w:cs="Times New Roman"/>
          <w:i/>
          <w:sz w:val="24"/>
          <w:szCs w:val="24"/>
          <w:lang w:val="en-PH"/>
        </w:rPr>
        <w:t>acquis</w:t>
      </w:r>
      <w:r w:rsidR="00B17816" w:rsidRPr="00882233">
        <w:rPr>
          <w:rFonts w:ascii="Times New Roman" w:hAnsi="Times New Roman" w:cs="Times New Roman"/>
          <w:sz w:val="24"/>
          <w:szCs w:val="24"/>
          <w:lang w:val="en-PH"/>
        </w:rPr>
        <w:t xml:space="preserve"> covering a wide variety of sectors and topics will be both broadened and deepened</w:t>
      </w:r>
      <w:r w:rsidR="00EC275B" w:rsidRPr="00882233">
        <w:rPr>
          <w:rFonts w:ascii="Times New Roman" w:hAnsi="Times New Roman" w:cs="Times New Roman"/>
          <w:sz w:val="24"/>
          <w:szCs w:val="24"/>
          <w:lang w:val="en-PH"/>
        </w:rPr>
        <w:t xml:space="preserve"> as a consequence of green and digital transition. </w:t>
      </w:r>
      <w:r w:rsidR="00B17816" w:rsidRPr="00882233">
        <w:rPr>
          <w:rFonts w:ascii="Times New Roman" w:hAnsi="Times New Roman" w:cs="Times New Roman"/>
          <w:sz w:val="24"/>
          <w:szCs w:val="24"/>
          <w:lang w:val="en-PH"/>
        </w:rPr>
        <w:t>For the EU candidate countries this</w:t>
      </w:r>
      <w:r w:rsidR="00E46504" w:rsidRPr="00882233">
        <w:rPr>
          <w:rFonts w:ascii="Times New Roman" w:hAnsi="Times New Roman" w:cs="Times New Roman"/>
          <w:sz w:val="24"/>
          <w:szCs w:val="24"/>
          <w:lang w:val="en-PH"/>
        </w:rPr>
        <w:t xml:space="preserve"> </w:t>
      </w:r>
      <w:r w:rsidR="00B17816" w:rsidRPr="00882233">
        <w:rPr>
          <w:rFonts w:ascii="Times New Roman" w:hAnsi="Times New Roman" w:cs="Times New Roman"/>
          <w:sz w:val="24"/>
          <w:szCs w:val="24"/>
          <w:lang w:val="en-PH"/>
        </w:rPr>
        <w:t>mean</w:t>
      </w:r>
      <w:r w:rsidR="00247DD2" w:rsidRPr="00882233">
        <w:rPr>
          <w:rFonts w:ascii="Times New Roman" w:hAnsi="Times New Roman" w:cs="Times New Roman"/>
          <w:sz w:val="24"/>
          <w:szCs w:val="24"/>
          <w:lang w:val="en-PH"/>
        </w:rPr>
        <w:t>s</w:t>
      </w:r>
      <w:r w:rsidR="00B17816" w:rsidRPr="00882233">
        <w:rPr>
          <w:rFonts w:ascii="Times New Roman" w:hAnsi="Times New Roman" w:cs="Times New Roman"/>
          <w:sz w:val="24"/>
          <w:szCs w:val="24"/>
          <w:lang w:val="en-PH"/>
        </w:rPr>
        <w:t xml:space="preserve"> that the overall volume of the </w:t>
      </w:r>
      <w:r w:rsidR="00B17816" w:rsidRPr="00882233">
        <w:rPr>
          <w:rFonts w:ascii="Times New Roman" w:hAnsi="Times New Roman" w:cs="Times New Roman"/>
          <w:i/>
          <w:sz w:val="24"/>
          <w:szCs w:val="24"/>
          <w:lang w:val="en-PH"/>
        </w:rPr>
        <w:t xml:space="preserve">acquis </w:t>
      </w:r>
      <w:r w:rsidR="00173474" w:rsidRPr="00882233">
        <w:rPr>
          <w:rFonts w:ascii="Times New Roman" w:hAnsi="Times New Roman" w:cs="Times New Roman"/>
          <w:sz w:val="24"/>
          <w:szCs w:val="24"/>
          <w:lang w:val="en-PH"/>
        </w:rPr>
        <w:t xml:space="preserve">to which the new entrants </w:t>
      </w:r>
      <w:r w:rsidR="00247DD2" w:rsidRPr="00882233">
        <w:rPr>
          <w:rFonts w:ascii="Times New Roman" w:hAnsi="Times New Roman" w:cs="Times New Roman"/>
          <w:sz w:val="24"/>
          <w:szCs w:val="24"/>
          <w:lang w:val="en-PH"/>
        </w:rPr>
        <w:t xml:space="preserve">will </w:t>
      </w:r>
      <w:r w:rsidR="00173474" w:rsidRPr="00882233">
        <w:rPr>
          <w:rFonts w:ascii="Times New Roman" w:hAnsi="Times New Roman" w:cs="Times New Roman"/>
          <w:sz w:val="24"/>
          <w:szCs w:val="24"/>
          <w:lang w:val="en-PH"/>
        </w:rPr>
        <w:t xml:space="preserve">have </w:t>
      </w:r>
      <w:r w:rsidR="00B17816" w:rsidRPr="00882233">
        <w:rPr>
          <w:rFonts w:ascii="Times New Roman" w:hAnsi="Times New Roman" w:cs="Times New Roman"/>
          <w:sz w:val="24"/>
          <w:szCs w:val="24"/>
          <w:lang w:val="en-PH"/>
        </w:rPr>
        <w:t xml:space="preserve">to be harmonized will increase significantly and this will be </w:t>
      </w:r>
      <w:r w:rsidR="00247DD2" w:rsidRPr="00882233">
        <w:rPr>
          <w:rFonts w:ascii="Times New Roman" w:hAnsi="Times New Roman" w:cs="Times New Roman"/>
          <w:sz w:val="24"/>
          <w:szCs w:val="24"/>
          <w:lang w:val="en-PH"/>
        </w:rPr>
        <w:t xml:space="preserve">accompanied </w:t>
      </w:r>
      <w:r w:rsidR="00B17816" w:rsidRPr="00882233">
        <w:rPr>
          <w:rFonts w:ascii="Times New Roman" w:hAnsi="Times New Roman" w:cs="Times New Roman"/>
          <w:sz w:val="24"/>
          <w:szCs w:val="24"/>
          <w:lang w:val="en-PH"/>
        </w:rPr>
        <w:t xml:space="preserve">with </w:t>
      </w:r>
      <w:r w:rsidR="00EC275B" w:rsidRPr="00882233">
        <w:rPr>
          <w:rFonts w:ascii="Times New Roman" w:hAnsi="Times New Roman" w:cs="Times New Roman"/>
          <w:sz w:val="24"/>
          <w:szCs w:val="24"/>
          <w:lang w:val="en-PH"/>
        </w:rPr>
        <w:t xml:space="preserve">additional </w:t>
      </w:r>
      <w:r w:rsidR="00B17816" w:rsidRPr="008901E3">
        <w:rPr>
          <w:rFonts w:ascii="Times New Roman" w:hAnsi="Times New Roman" w:cs="Times New Roman"/>
          <w:i/>
          <w:sz w:val="24"/>
          <w:szCs w:val="24"/>
          <w:lang w:val="en-PH"/>
        </w:rPr>
        <w:t>acquis</w:t>
      </w:r>
      <w:r w:rsidR="00B17816" w:rsidRPr="00882233">
        <w:rPr>
          <w:rFonts w:ascii="Times New Roman" w:hAnsi="Times New Roman" w:cs="Times New Roman"/>
          <w:sz w:val="24"/>
          <w:szCs w:val="24"/>
          <w:lang w:val="en-PH"/>
        </w:rPr>
        <w:t xml:space="preserve"> implementation</w:t>
      </w:r>
      <w:r w:rsidR="00EC275B" w:rsidRPr="00882233">
        <w:rPr>
          <w:rFonts w:ascii="Times New Roman" w:hAnsi="Times New Roman" w:cs="Times New Roman"/>
          <w:sz w:val="24"/>
          <w:szCs w:val="24"/>
          <w:lang w:val="en-PH"/>
        </w:rPr>
        <w:t xml:space="preserve"> challenges. It is well known that full implementation of the </w:t>
      </w:r>
      <w:r w:rsidR="00EC275B" w:rsidRPr="00882233">
        <w:rPr>
          <w:rFonts w:ascii="Times New Roman" w:hAnsi="Times New Roman" w:cs="Times New Roman"/>
          <w:i/>
          <w:sz w:val="24"/>
          <w:szCs w:val="24"/>
          <w:lang w:val="en-PH"/>
        </w:rPr>
        <w:t>acquis</w:t>
      </w:r>
      <w:r w:rsidR="00EC275B" w:rsidRPr="00882233">
        <w:rPr>
          <w:rFonts w:ascii="Times New Roman" w:hAnsi="Times New Roman" w:cs="Times New Roman"/>
          <w:sz w:val="24"/>
          <w:szCs w:val="24"/>
          <w:lang w:val="en-PH"/>
        </w:rPr>
        <w:t xml:space="preserve"> is not only costly but </w:t>
      </w:r>
      <w:r w:rsidRPr="00882233">
        <w:rPr>
          <w:rFonts w:ascii="Times New Roman" w:hAnsi="Times New Roman" w:cs="Times New Roman"/>
          <w:sz w:val="24"/>
          <w:szCs w:val="24"/>
          <w:lang w:val="en-PH"/>
        </w:rPr>
        <w:t xml:space="preserve">requires </w:t>
      </w:r>
      <w:r w:rsidR="008901E3">
        <w:rPr>
          <w:rFonts w:ascii="Times New Roman" w:hAnsi="Times New Roman" w:cs="Times New Roman"/>
          <w:sz w:val="24"/>
          <w:szCs w:val="24"/>
          <w:lang w:val="en-PH"/>
        </w:rPr>
        <w:t xml:space="preserve">implementation of </w:t>
      </w:r>
      <w:r w:rsidRPr="00882233">
        <w:rPr>
          <w:rFonts w:ascii="Times New Roman" w:hAnsi="Times New Roman" w:cs="Times New Roman"/>
          <w:sz w:val="24"/>
          <w:szCs w:val="24"/>
          <w:lang w:val="en-PH"/>
        </w:rPr>
        <w:t xml:space="preserve">major and often politically sensitive reforms. </w:t>
      </w:r>
      <w:r w:rsidR="00B17816" w:rsidRPr="00882233">
        <w:rPr>
          <w:rFonts w:ascii="Times New Roman" w:hAnsi="Times New Roman" w:cs="Times New Roman"/>
          <w:sz w:val="24"/>
          <w:szCs w:val="24"/>
          <w:lang w:val="en-PH"/>
        </w:rPr>
        <w:t xml:space="preserve"> </w:t>
      </w:r>
    </w:p>
    <w:p w:rsidR="00882233" w:rsidRDefault="00882233" w:rsidP="00882233">
      <w:pPr>
        <w:pStyle w:val="Default"/>
        <w:spacing w:line="240" w:lineRule="atLeast"/>
        <w:ind w:left="66"/>
        <w:jc w:val="both"/>
        <w:rPr>
          <w:rFonts w:ascii="Times New Roman" w:hAnsi="Times New Roman" w:cs="Times New Roman"/>
          <w:i/>
          <w:lang w:val="en-PH"/>
        </w:rPr>
      </w:pPr>
    </w:p>
    <w:p w:rsidR="00882233" w:rsidRDefault="004A6038" w:rsidP="00882233">
      <w:pPr>
        <w:pStyle w:val="Default"/>
        <w:spacing w:line="240" w:lineRule="atLeast"/>
        <w:ind w:left="66"/>
        <w:jc w:val="both"/>
        <w:rPr>
          <w:rFonts w:ascii="Times New Roman" w:hAnsi="Times New Roman" w:cs="Times New Roman"/>
          <w:lang w:val="en-PH"/>
        </w:rPr>
      </w:pPr>
      <w:r w:rsidRPr="000B16FA">
        <w:rPr>
          <w:rFonts w:ascii="Times New Roman" w:hAnsi="Times New Roman" w:cs="Times New Roman"/>
          <w:lang w:val="en-PH"/>
        </w:rPr>
        <w:t xml:space="preserve">The second channel through which the new development </w:t>
      </w:r>
      <w:r w:rsidR="00C87BCE" w:rsidRPr="000B16FA">
        <w:rPr>
          <w:rFonts w:ascii="Times New Roman" w:hAnsi="Times New Roman" w:cs="Times New Roman"/>
          <w:lang w:val="en-PH"/>
        </w:rPr>
        <w:t>strategy</w:t>
      </w:r>
      <w:r w:rsidRPr="000B16FA">
        <w:rPr>
          <w:rFonts w:ascii="Times New Roman" w:hAnsi="Times New Roman" w:cs="Times New Roman"/>
          <w:lang w:val="en-PH"/>
        </w:rPr>
        <w:t xml:space="preserve"> of the EU focused on climate</w:t>
      </w:r>
      <w:r w:rsidR="00807AFE">
        <w:rPr>
          <w:rFonts w:ascii="Times New Roman" w:hAnsi="Times New Roman" w:cs="Times New Roman"/>
          <w:lang w:val="en-PH"/>
        </w:rPr>
        <w:t xml:space="preserve"> </w:t>
      </w:r>
      <w:r w:rsidRPr="000B16FA">
        <w:rPr>
          <w:rFonts w:ascii="Times New Roman" w:hAnsi="Times New Roman" w:cs="Times New Roman"/>
          <w:lang w:val="en-PH"/>
        </w:rPr>
        <w:t>neutrality and digital modernization trickle</w:t>
      </w:r>
      <w:r w:rsidR="00882233">
        <w:rPr>
          <w:rFonts w:ascii="Times New Roman" w:hAnsi="Times New Roman" w:cs="Times New Roman"/>
          <w:lang w:val="en-PH"/>
        </w:rPr>
        <w:t>s</w:t>
      </w:r>
      <w:r w:rsidRPr="000B16FA">
        <w:rPr>
          <w:rFonts w:ascii="Times New Roman" w:hAnsi="Times New Roman" w:cs="Times New Roman"/>
          <w:lang w:val="en-PH"/>
        </w:rPr>
        <w:t xml:space="preserve"> down to the EU candidate countries </w:t>
      </w:r>
      <w:r w:rsidR="00882233">
        <w:rPr>
          <w:rFonts w:ascii="Times New Roman" w:hAnsi="Times New Roman" w:cs="Times New Roman"/>
          <w:lang w:val="en-PH"/>
        </w:rPr>
        <w:t xml:space="preserve">is a </w:t>
      </w:r>
      <w:r w:rsidRPr="000B16FA">
        <w:rPr>
          <w:rFonts w:ascii="Times New Roman" w:hAnsi="Times New Roman" w:cs="Times New Roman"/>
          <w:lang w:val="en-PH"/>
        </w:rPr>
        <w:t xml:space="preserve">significantly </w:t>
      </w:r>
      <w:r w:rsidRPr="000B16FA">
        <w:rPr>
          <w:rFonts w:ascii="Times New Roman" w:hAnsi="Times New Roman" w:cs="Times New Roman"/>
          <w:bCs/>
          <w:lang w:val="en-PH"/>
        </w:rPr>
        <w:t xml:space="preserve">broadened and strengthened framework for </w:t>
      </w:r>
      <w:r w:rsidR="000B730B" w:rsidRPr="000B16FA">
        <w:rPr>
          <w:rFonts w:ascii="Times New Roman" w:hAnsi="Times New Roman" w:cs="Times New Roman"/>
          <w:bCs/>
          <w:lang w:val="en-PH"/>
        </w:rPr>
        <w:t xml:space="preserve">a structured policy dialogue </w:t>
      </w:r>
      <w:r w:rsidRPr="000B16FA">
        <w:rPr>
          <w:rFonts w:ascii="Times New Roman" w:hAnsi="Times New Roman" w:cs="Times New Roman"/>
          <w:bCs/>
          <w:lang w:val="en-PH"/>
        </w:rPr>
        <w:t xml:space="preserve">on </w:t>
      </w:r>
      <w:r w:rsidR="000B730B" w:rsidRPr="000B16FA">
        <w:rPr>
          <w:rFonts w:ascii="Times New Roman" w:hAnsi="Times New Roman" w:cs="Times New Roman"/>
          <w:bCs/>
          <w:lang w:val="en-PH"/>
        </w:rPr>
        <w:t>socio-</w:t>
      </w:r>
      <w:r w:rsidRPr="000B16FA">
        <w:rPr>
          <w:rFonts w:ascii="Times New Roman" w:hAnsi="Times New Roman" w:cs="Times New Roman"/>
          <w:bCs/>
          <w:lang w:val="en-PH"/>
        </w:rPr>
        <w:t xml:space="preserve">economic policy </w:t>
      </w:r>
      <w:r w:rsidR="000B730B" w:rsidRPr="000B16FA">
        <w:rPr>
          <w:rFonts w:ascii="Times New Roman" w:hAnsi="Times New Roman" w:cs="Times New Roman"/>
          <w:bCs/>
          <w:lang w:val="en-PH"/>
        </w:rPr>
        <w:t xml:space="preserve">matters based </w:t>
      </w:r>
      <w:r w:rsidRPr="000B16FA">
        <w:rPr>
          <w:rFonts w:ascii="Times New Roman" w:hAnsi="Times New Roman" w:cs="Times New Roman"/>
          <w:bCs/>
          <w:lang w:val="en-PH"/>
        </w:rPr>
        <w:t xml:space="preserve">on </w:t>
      </w:r>
      <w:r w:rsidR="000B16FA" w:rsidRPr="000B16FA">
        <w:rPr>
          <w:rFonts w:ascii="Times New Roman" w:hAnsi="Times New Roman" w:cs="Times New Roman"/>
          <w:bCs/>
          <w:lang w:val="en-PH"/>
        </w:rPr>
        <w:t xml:space="preserve">the </w:t>
      </w:r>
      <w:r w:rsidRPr="000B16FA">
        <w:rPr>
          <w:rFonts w:ascii="Times New Roman" w:hAnsi="Times New Roman" w:cs="Times New Roman"/>
          <w:bCs/>
          <w:lang w:val="en-PH"/>
        </w:rPr>
        <w:t>ERPs</w:t>
      </w:r>
      <w:r w:rsidR="00247DD2" w:rsidRPr="000B16FA">
        <w:rPr>
          <w:rFonts w:ascii="Times New Roman" w:hAnsi="Times New Roman" w:cs="Times New Roman"/>
          <w:bCs/>
          <w:lang w:val="en-PH"/>
        </w:rPr>
        <w:t xml:space="preserve"> </w:t>
      </w:r>
      <w:r w:rsidR="00882233">
        <w:rPr>
          <w:rFonts w:ascii="Times New Roman" w:hAnsi="Times New Roman" w:cs="Times New Roman"/>
          <w:bCs/>
          <w:lang w:val="en-PH"/>
        </w:rPr>
        <w:t>pre</w:t>
      </w:r>
      <w:r w:rsidR="00247DD2" w:rsidRPr="000B16FA">
        <w:rPr>
          <w:rFonts w:ascii="Times New Roman" w:hAnsi="Times New Roman" w:cs="Times New Roman"/>
          <w:bCs/>
          <w:lang w:val="en-PH"/>
        </w:rPr>
        <w:t>pared by the EU candidate countries</w:t>
      </w:r>
      <w:r w:rsidR="00882233">
        <w:rPr>
          <w:rFonts w:ascii="Times New Roman" w:hAnsi="Times New Roman" w:cs="Times New Roman"/>
          <w:bCs/>
          <w:lang w:val="en-PH"/>
        </w:rPr>
        <w:t xml:space="preserve"> on an annual basis.</w:t>
      </w:r>
      <w:r w:rsidR="00247DD2" w:rsidRPr="000B16FA">
        <w:rPr>
          <w:rFonts w:ascii="Times New Roman" w:hAnsi="Times New Roman" w:cs="Times New Roman"/>
          <w:bCs/>
          <w:lang w:val="en-PH"/>
        </w:rPr>
        <w:t xml:space="preserve"> </w:t>
      </w:r>
      <w:r w:rsidRPr="000B16FA">
        <w:rPr>
          <w:rFonts w:ascii="Times New Roman" w:hAnsi="Times New Roman" w:cs="Times New Roman"/>
          <w:bCs/>
          <w:lang w:val="en-PH"/>
        </w:rPr>
        <w:t xml:space="preserve">The June </w:t>
      </w:r>
      <w:r w:rsidRPr="00F808CE">
        <w:rPr>
          <w:rFonts w:ascii="Times New Roman" w:hAnsi="Times New Roman" w:cs="Times New Roman"/>
          <w:bCs/>
          <w:lang w:val="en-PH"/>
        </w:rPr>
        <w:t>2021 European Commission’s guidance provided to the Western Balkans and Turkey for preparation of the ERPs for 202</w:t>
      </w:r>
      <w:r w:rsidR="00247DD2" w:rsidRPr="00F808CE">
        <w:rPr>
          <w:rFonts w:ascii="Times New Roman" w:hAnsi="Times New Roman" w:cs="Times New Roman"/>
          <w:bCs/>
          <w:lang w:val="en-PH"/>
        </w:rPr>
        <w:t>2</w:t>
      </w:r>
      <w:r w:rsidRPr="00F808CE">
        <w:rPr>
          <w:rFonts w:ascii="Times New Roman" w:hAnsi="Times New Roman" w:cs="Times New Roman"/>
          <w:bCs/>
          <w:lang w:val="en-PH"/>
        </w:rPr>
        <w:t>-2024 clearly confirms this orientation</w:t>
      </w:r>
      <w:r w:rsidR="005133FB" w:rsidRPr="00F808CE">
        <w:rPr>
          <w:rStyle w:val="FootnoteReference"/>
          <w:rFonts w:ascii="Times New Roman" w:hAnsi="Times New Roman" w:cs="Times New Roman"/>
          <w:bCs/>
          <w:lang w:val="en-PH"/>
        </w:rPr>
        <w:footnoteReference w:id="7"/>
      </w:r>
      <w:r w:rsidRPr="00F808CE">
        <w:rPr>
          <w:rFonts w:ascii="Times New Roman" w:hAnsi="Times New Roman" w:cs="Times New Roman"/>
          <w:bCs/>
          <w:lang w:val="en-PH"/>
        </w:rPr>
        <w:t>.</w:t>
      </w:r>
      <w:r w:rsidR="00A3559D" w:rsidRPr="00F808CE">
        <w:rPr>
          <w:rFonts w:ascii="Times New Roman" w:hAnsi="Times New Roman" w:cs="Times New Roman"/>
          <w:bCs/>
          <w:lang w:val="en-PH"/>
        </w:rPr>
        <w:t xml:space="preserve"> </w:t>
      </w:r>
      <w:r w:rsidR="00385AB1" w:rsidRPr="00F808CE">
        <w:rPr>
          <w:rFonts w:ascii="Times New Roman" w:hAnsi="Times New Roman" w:cs="Times New Roman"/>
          <w:bCs/>
          <w:lang w:val="en-PH"/>
        </w:rPr>
        <w:t>With respect to the green transition, the EU</w:t>
      </w:r>
      <w:r w:rsidR="00385AB1" w:rsidRPr="000B16FA">
        <w:rPr>
          <w:rFonts w:ascii="Times New Roman" w:hAnsi="Times New Roman" w:cs="Times New Roman"/>
          <w:bCs/>
          <w:lang w:val="en-PH"/>
        </w:rPr>
        <w:t xml:space="preserve"> candidate countries are asked to analyse o</w:t>
      </w:r>
      <w:r w:rsidR="00385AB1" w:rsidRPr="000B16FA">
        <w:rPr>
          <w:rFonts w:ascii="Times New Roman" w:hAnsi="Times New Roman" w:cs="Times New Roman"/>
          <w:lang w:val="en-PH"/>
        </w:rPr>
        <w:t xml:space="preserve">bstacles and challenges that may delay/hamper the green transition, in line with the objectives of the EGD and the </w:t>
      </w:r>
      <w:r w:rsidR="00385AB1" w:rsidRPr="000B16FA">
        <w:rPr>
          <w:rFonts w:ascii="Times New Roman" w:hAnsi="Times New Roman" w:cs="Times New Roman"/>
          <w:i/>
          <w:lang w:val="en-PH"/>
        </w:rPr>
        <w:t>Green Agenda for the Western Balkans</w:t>
      </w:r>
      <w:r w:rsidR="006C6039" w:rsidRPr="000B16FA">
        <w:rPr>
          <w:rFonts w:ascii="Times New Roman" w:hAnsi="Times New Roman" w:cs="Times New Roman"/>
          <w:lang w:val="en-PH"/>
        </w:rPr>
        <w:t>,</w:t>
      </w:r>
      <w:r w:rsidR="00385AB1" w:rsidRPr="000B16FA">
        <w:rPr>
          <w:rFonts w:ascii="Times New Roman" w:hAnsi="Times New Roman" w:cs="Times New Roman"/>
          <w:lang w:val="en-PH"/>
        </w:rPr>
        <w:t xml:space="preserve"> and to design reforms in the</w:t>
      </w:r>
      <w:r w:rsidR="006C6039" w:rsidRPr="000B16FA">
        <w:rPr>
          <w:rFonts w:ascii="Times New Roman" w:hAnsi="Times New Roman" w:cs="Times New Roman"/>
          <w:lang w:val="en-PH"/>
        </w:rPr>
        <w:t xml:space="preserve">se </w:t>
      </w:r>
      <w:r w:rsidR="00385AB1" w:rsidRPr="000B16FA">
        <w:rPr>
          <w:rFonts w:ascii="Times New Roman" w:hAnsi="Times New Roman" w:cs="Times New Roman"/>
          <w:lang w:val="en-PH"/>
        </w:rPr>
        <w:t>areas</w:t>
      </w:r>
      <w:r w:rsidR="00385AB1" w:rsidRPr="00B324FB">
        <w:rPr>
          <w:rStyle w:val="FootnoteReference"/>
          <w:rFonts w:ascii="Times New Roman" w:hAnsi="Times New Roman" w:cs="Times New Roman"/>
          <w:lang w:val="en-PH"/>
        </w:rPr>
        <w:footnoteReference w:id="8"/>
      </w:r>
      <w:r w:rsidR="00385AB1" w:rsidRPr="000B16FA">
        <w:rPr>
          <w:rFonts w:ascii="Times New Roman" w:hAnsi="Times New Roman" w:cs="Times New Roman"/>
          <w:lang w:val="en-PH"/>
        </w:rPr>
        <w:t>.</w:t>
      </w:r>
      <w:r w:rsidR="00882233">
        <w:rPr>
          <w:rFonts w:ascii="Times New Roman" w:hAnsi="Times New Roman" w:cs="Times New Roman"/>
          <w:lang w:val="en-PH"/>
        </w:rPr>
        <w:t xml:space="preserve"> </w:t>
      </w:r>
      <w:r w:rsidR="00166319" w:rsidRPr="000B16FA">
        <w:rPr>
          <w:rFonts w:ascii="Times New Roman" w:hAnsi="Times New Roman" w:cs="Times New Roman"/>
          <w:lang w:val="en-PH"/>
        </w:rPr>
        <w:t xml:space="preserve">As far as the </w:t>
      </w:r>
      <w:r w:rsidR="00B324FB" w:rsidRPr="000B16FA">
        <w:rPr>
          <w:rFonts w:ascii="Times New Roman" w:hAnsi="Times New Roman" w:cs="Times New Roman"/>
          <w:lang w:val="en-PH"/>
        </w:rPr>
        <w:t>digital transformation</w:t>
      </w:r>
      <w:r w:rsidR="00166319" w:rsidRPr="000B16FA">
        <w:rPr>
          <w:rFonts w:ascii="Times New Roman" w:hAnsi="Times New Roman" w:cs="Times New Roman"/>
          <w:lang w:val="en-PH"/>
        </w:rPr>
        <w:t xml:space="preserve"> is concerned, </w:t>
      </w:r>
      <w:r w:rsidR="00B324FB" w:rsidRPr="000B16FA">
        <w:rPr>
          <w:rFonts w:ascii="Times New Roman" w:hAnsi="Times New Roman" w:cs="Times New Roman"/>
          <w:lang w:val="en-PH"/>
        </w:rPr>
        <w:t>the Guidance</w:t>
      </w:r>
      <w:r w:rsidR="00166319" w:rsidRPr="000B16FA">
        <w:rPr>
          <w:rFonts w:ascii="Times New Roman" w:hAnsi="Times New Roman" w:cs="Times New Roman"/>
          <w:lang w:val="en-PH"/>
        </w:rPr>
        <w:t xml:space="preserve"> </w:t>
      </w:r>
      <w:r w:rsidR="00B324FB" w:rsidRPr="000B16FA">
        <w:rPr>
          <w:rFonts w:ascii="Times New Roman" w:hAnsi="Times New Roman" w:cs="Times New Roman"/>
          <w:lang w:val="en-PH"/>
        </w:rPr>
        <w:t>asks the EU candidate countries to analyse the main public policies directly aiming at the digital transformation of one or several areas of the economy in line with the European Commission’s priorities (e.g. digitalisation processes in the public administration, education, healthcare systems, industry and services) and again to design reform measures</w:t>
      </w:r>
      <w:r w:rsidR="00B324FB" w:rsidRPr="00B324FB">
        <w:rPr>
          <w:rStyle w:val="FootnoteReference"/>
          <w:rFonts w:ascii="Times New Roman" w:hAnsi="Times New Roman" w:cs="Times New Roman"/>
          <w:lang w:val="en-PH"/>
        </w:rPr>
        <w:footnoteReference w:id="9"/>
      </w:r>
      <w:r w:rsidR="00B324FB" w:rsidRPr="000B16FA">
        <w:rPr>
          <w:rFonts w:ascii="Times New Roman" w:hAnsi="Times New Roman" w:cs="Times New Roman"/>
          <w:lang w:val="en-PH"/>
        </w:rPr>
        <w:t>.</w:t>
      </w:r>
      <w:r w:rsidR="000B16FA" w:rsidRPr="000B16FA">
        <w:rPr>
          <w:rFonts w:ascii="Times New Roman" w:hAnsi="Times New Roman" w:cs="Times New Roman"/>
          <w:lang w:val="en-PH"/>
        </w:rPr>
        <w:t xml:space="preserve"> </w:t>
      </w:r>
    </w:p>
    <w:p w:rsidR="00882233" w:rsidRDefault="00882233" w:rsidP="00882233">
      <w:pPr>
        <w:pStyle w:val="Default"/>
        <w:spacing w:line="240" w:lineRule="atLeast"/>
        <w:ind w:left="66"/>
        <w:jc w:val="both"/>
        <w:rPr>
          <w:rFonts w:ascii="Times New Roman" w:hAnsi="Times New Roman" w:cs="Times New Roman"/>
          <w:lang w:val="en-PH"/>
        </w:rPr>
      </w:pPr>
    </w:p>
    <w:p w:rsidR="00C57271" w:rsidRPr="000B16FA" w:rsidRDefault="000B16FA" w:rsidP="00882233">
      <w:pPr>
        <w:pStyle w:val="Default"/>
        <w:spacing w:line="240" w:lineRule="atLeast"/>
        <w:ind w:left="66"/>
        <w:jc w:val="both"/>
        <w:rPr>
          <w:rFonts w:ascii="Times New Roman" w:hAnsi="Times New Roman" w:cs="Times New Roman"/>
          <w:bCs/>
          <w:lang w:val="en-PH"/>
        </w:rPr>
      </w:pPr>
      <w:r>
        <w:rPr>
          <w:rFonts w:ascii="Times New Roman" w:hAnsi="Times New Roman" w:cs="Times New Roman"/>
          <w:lang w:val="en-PH"/>
        </w:rPr>
        <w:t xml:space="preserve">When talking about the role of the ERPs within the EU accession process, it should be underlined that they are </w:t>
      </w:r>
      <w:r w:rsidR="009B3551" w:rsidRPr="000B16FA">
        <w:rPr>
          <w:rFonts w:ascii="Times New Roman" w:hAnsi="Times New Roman" w:cs="Times New Roman"/>
          <w:bCs/>
          <w:lang w:val="en-PH"/>
        </w:rPr>
        <w:t xml:space="preserve">becoming even more important component of the EU accession than </w:t>
      </w:r>
      <w:r w:rsidR="00B956AE">
        <w:rPr>
          <w:rFonts w:ascii="Times New Roman" w:hAnsi="Times New Roman" w:cs="Times New Roman"/>
          <w:bCs/>
          <w:lang w:val="en-PH"/>
        </w:rPr>
        <w:t xml:space="preserve">has been </w:t>
      </w:r>
      <w:r w:rsidR="009B3551" w:rsidRPr="000B16FA">
        <w:rPr>
          <w:rFonts w:ascii="Times New Roman" w:hAnsi="Times New Roman" w:cs="Times New Roman"/>
          <w:bCs/>
          <w:lang w:val="en-PH"/>
        </w:rPr>
        <w:t xml:space="preserve">the case </w:t>
      </w:r>
      <w:r w:rsidR="00B956AE">
        <w:rPr>
          <w:rFonts w:ascii="Times New Roman" w:hAnsi="Times New Roman" w:cs="Times New Roman"/>
          <w:bCs/>
          <w:lang w:val="en-PH"/>
        </w:rPr>
        <w:t xml:space="preserve">until </w:t>
      </w:r>
      <w:r w:rsidR="009B3551" w:rsidRPr="000B16FA">
        <w:rPr>
          <w:rFonts w:ascii="Times New Roman" w:hAnsi="Times New Roman" w:cs="Times New Roman"/>
          <w:bCs/>
          <w:lang w:val="en-PH"/>
        </w:rPr>
        <w:t xml:space="preserve">now. Under the </w:t>
      </w:r>
      <w:r>
        <w:rPr>
          <w:rFonts w:ascii="Times New Roman" w:hAnsi="Times New Roman" w:cs="Times New Roman"/>
          <w:bCs/>
          <w:lang w:val="en-PH"/>
        </w:rPr>
        <w:t>2020 E</w:t>
      </w:r>
      <w:r w:rsidR="009B3551" w:rsidRPr="000B16FA">
        <w:rPr>
          <w:rFonts w:ascii="Times New Roman" w:hAnsi="Times New Roman" w:cs="Times New Roman"/>
          <w:bCs/>
          <w:lang w:val="en-PH"/>
        </w:rPr>
        <w:t xml:space="preserve">nlargement </w:t>
      </w:r>
      <w:r w:rsidR="00882233">
        <w:rPr>
          <w:rFonts w:ascii="Times New Roman" w:hAnsi="Times New Roman" w:cs="Times New Roman"/>
          <w:bCs/>
          <w:lang w:val="en-PH"/>
        </w:rPr>
        <w:t>M</w:t>
      </w:r>
      <w:r w:rsidR="009B3551" w:rsidRPr="000B16FA">
        <w:rPr>
          <w:rFonts w:ascii="Times New Roman" w:hAnsi="Times New Roman" w:cs="Times New Roman"/>
          <w:bCs/>
          <w:lang w:val="en-PH"/>
        </w:rPr>
        <w:t>ethodology</w:t>
      </w:r>
      <w:r w:rsidR="000F13B8">
        <w:rPr>
          <w:rFonts w:ascii="Times New Roman" w:hAnsi="Times New Roman" w:cs="Times New Roman"/>
          <w:bCs/>
          <w:lang w:val="en-PH"/>
        </w:rPr>
        <w:t xml:space="preserve"> </w:t>
      </w:r>
      <w:r w:rsidR="009B3551" w:rsidRPr="000B16FA">
        <w:rPr>
          <w:rFonts w:ascii="Times New Roman" w:hAnsi="Times New Roman" w:cs="Times New Roman"/>
          <w:bCs/>
          <w:lang w:val="en-PH"/>
        </w:rPr>
        <w:t xml:space="preserve">meeting </w:t>
      </w:r>
      <w:r w:rsidR="00D813D9">
        <w:rPr>
          <w:rFonts w:ascii="Times New Roman" w:hAnsi="Times New Roman" w:cs="Times New Roman"/>
          <w:bCs/>
          <w:lang w:val="en-PH"/>
        </w:rPr>
        <w:t xml:space="preserve">the </w:t>
      </w:r>
      <w:r w:rsidR="009B3551" w:rsidRPr="000B16FA">
        <w:rPr>
          <w:rFonts w:ascii="Times New Roman" w:hAnsi="Times New Roman" w:cs="Times New Roman"/>
          <w:bCs/>
          <w:lang w:val="en-PH"/>
        </w:rPr>
        <w:t xml:space="preserve">Copenhagen economic criteria </w:t>
      </w:r>
      <w:r w:rsidR="00B956AE">
        <w:rPr>
          <w:rFonts w:ascii="Times New Roman" w:hAnsi="Times New Roman" w:cs="Times New Roman"/>
          <w:bCs/>
          <w:lang w:val="en-PH"/>
        </w:rPr>
        <w:t xml:space="preserve">has namely become </w:t>
      </w:r>
      <w:r w:rsidR="009B3551" w:rsidRPr="000B16FA">
        <w:rPr>
          <w:rFonts w:ascii="Times New Roman" w:hAnsi="Times New Roman" w:cs="Times New Roman"/>
          <w:bCs/>
          <w:lang w:val="en-PH"/>
        </w:rPr>
        <w:t xml:space="preserve">an integral part of the so-called “fundamentals cluster” </w:t>
      </w:r>
      <w:r w:rsidR="00B956AE">
        <w:rPr>
          <w:rFonts w:ascii="Times New Roman" w:hAnsi="Times New Roman" w:cs="Times New Roman"/>
          <w:bCs/>
          <w:lang w:val="en-PH"/>
        </w:rPr>
        <w:t xml:space="preserve">of the EU accession negotiations and </w:t>
      </w:r>
      <w:r w:rsidR="00882233">
        <w:rPr>
          <w:rFonts w:ascii="Times New Roman" w:hAnsi="Times New Roman" w:cs="Times New Roman"/>
          <w:bCs/>
          <w:lang w:val="en-PH"/>
        </w:rPr>
        <w:t xml:space="preserve">the </w:t>
      </w:r>
      <w:r w:rsidR="00B956AE">
        <w:rPr>
          <w:rFonts w:ascii="Times New Roman" w:hAnsi="Times New Roman" w:cs="Times New Roman"/>
          <w:bCs/>
          <w:lang w:val="en-PH"/>
        </w:rPr>
        <w:t>tempo of the negotiations on this cluster will decisively influence the overall tempo of the EU accession</w:t>
      </w:r>
      <w:r w:rsidR="000F13B8">
        <w:rPr>
          <w:rFonts w:ascii="Times New Roman" w:hAnsi="Times New Roman" w:cs="Times New Roman"/>
          <w:bCs/>
          <w:lang w:val="en-PH"/>
        </w:rPr>
        <w:t xml:space="preserve"> (see details in</w:t>
      </w:r>
      <w:r w:rsidR="00882233">
        <w:rPr>
          <w:rFonts w:ascii="Times New Roman" w:hAnsi="Times New Roman" w:cs="Times New Roman"/>
          <w:bCs/>
          <w:lang w:val="en-PH"/>
        </w:rPr>
        <w:t xml:space="preserve"> </w:t>
      </w:r>
      <w:r w:rsidR="000F13B8" w:rsidRPr="00B956AE">
        <w:rPr>
          <w:rFonts w:ascii="Times New Roman" w:hAnsi="Times New Roman" w:cs="Times New Roman"/>
          <w:bCs/>
          <w:i/>
          <w:lang w:val="en-PH"/>
        </w:rPr>
        <w:t>chapter III</w:t>
      </w:r>
      <w:r w:rsidR="000F13B8">
        <w:rPr>
          <w:rFonts w:ascii="Times New Roman" w:hAnsi="Times New Roman" w:cs="Times New Roman"/>
          <w:bCs/>
          <w:lang w:val="en-PH"/>
        </w:rPr>
        <w:t>)</w:t>
      </w:r>
      <w:r w:rsidR="00B956AE">
        <w:rPr>
          <w:rFonts w:ascii="Times New Roman" w:hAnsi="Times New Roman" w:cs="Times New Roman"/>
          <w:bCs/>
          <w:lang w:val="en-PH"/>
        </w:rPr>
        <w:t>. As the ERP is b</w:t>
      </w:r>
      <w:r w:rsidR="009B3551" w:rsidRPr="000B16FA">
        <w:rPr>
          <w:rFonts w:ascii="Times New Roman" w:hAnsi="Times New Roman" w:cs="Times New Roman"/>
          <w:bCs/>
          <w:lang w:val="en-PH"/>
        </w:rPr>
        <w:t xml:space="preserve">y far the most important </w:t>
      </w:r>
      <w:r w:rsidR="00B956AE">
        <w:rPr>
          <w:rFonts w:ascii="Times New Roman" w:hAnsi="Times New Roman" w:cs="Times New Roman"/>
          <w:bCs/>
          <w:lang w:val="en-PH"/>
        </w:rPr>
        <w:t xml:space="preserve">domestic input for socio-economic dialogue of an EU candidate country with the EU, </w:t>
      </w:r>
      <w:r w:rsidR="00212A25">
        <w:rPr>
          <w:rFonts w:ascii="Times New Roman" w:hAnsi="Times New Roman" w:cs="Times New Roman"/>
          <w:bCs/>
          <w:lang w:val="en-PH"/>
        </w:rPr>
        <w:t xml:space="preserve">it will </w:t>
      </w:r>
      <w:r w:rsidR="00212A25" w:rsidRPr="00882233">
        <w:rPr>
          <w:rFonts w:ascii="Times New Roman" w:hAnsi="Times New Roman" w:cs="Times New Roman"/>
          <w:bCs/>
          <w:i/>
          <w:lang w:val="en-PH"/>
        </w:rPr>
        <w:t>de-facto</w:t>
      </w:r>
      <w:r w:rsidR="00212A25">
        <w:rPr>
          <w:rFonts w:ascii="Times New Roman" w:hAnsi="Times New Roman" w:cs="Times New Roman"/>
          <w:bCs/>
          <w:lang w:val="en-PH"/>
        </w:rPr>
        <w:t xml:space="preserve"> become a key instrument for </w:t>
      </w:r>
      <w:r w:rsidR="009B3551" w:rsidRPr="000B16FA">
        <w:rPr>
          <w:rFonts w:ascii="Times New Roman" w:hAnsi="Times New Roman" w:cs="Times New Roman"/>
          <w:bCs/>
          <w:lang w:val="en-PH"/>
        </w:rPr>
        <w:t xml:space="preserve">monitoring the progress an EU candidate country has </w:t>
      </w:r>
      <w:r w:rsidR="00212A25">
        <w:rPr>
          <w:rFonts w:ascii="Times New Roman" w:hAnsi="Times New Roman" w:cs="Times New Roman"/>
          <w:bCs/>
          <w:lang w:val="en-PH"/>
        </w:rPr>
        <w:t xml:space="preserve">made on </w:t>
      </w:r>
      <w:r w:rsidR="00B956AE">
        <w:rPr>
          <w:rFonts w:ascii="Times New Roman" w:hAnsi="Times New Roman" w:cs="Times New Roman"/>
          <w:bCs/>
          <w:lang w:val="en-PH"/>
        </w:rPr>
        <w:t xml:space="preserve">meeting </w:t>
      </w:r>
      <w:r w:rsidR="00D813D9">
        <w:rPr>
          <w:rFonts w:ascii="Times New Roman" w:hAnsi="Times New Roman" w:cs="Times New Roman"/>
          <w:bCs/>
          <w:lang w:val="en-PH"/>
        </w:rPr>
        <w:t xml:space="preserve">the </w:t>
      </w:r>
      <w:r w:rsidR="00B956AE">
        <w:rPr>
          <w:rFonts w:ascii="Times New Roman" w:hAnsi="Times New Roman" w:cs="Times New Roman"/>
          <w:bCs/>
          <w:lang w:val="en-PH"/>
        </w:rPr>
        <w:t>Copenhagen economic criteria</w:t>
      </w:r>
      <w:r w:rsidR="00212A25">
        <w:rPr>
          <w:rFonts w:ascii="Times New Roman" w:hAnsi="Times New Roman" w:cs="Times New Roman"/>
          <w:bCs/>
          <w:lang w:val="en-PH"/>
        </w:rPr>
        <w:t xml:space="preserve">. </w:t>
      </w:r>
      <w:r w:rsidR="00C57271" w:rsidRPr="000B16FA">
        <w:rPr>
          <w:rFonts w:ascii="Times New Roman" w:hAnsi="Times New Roman" w:cs="Times New Roman"/>
          <w:bCs/>
          <w:lang w:val="en-PH"/>
        </w:rPr>
        <w:t xml:space="preserve"> </w:t>
      </w:r>
    </w:p>
    <w:p w:rsidR="00FF0BA2" w:rsidRDefault="00FF0BA2" w:rsidP="00186D18">
      <w:pPr>
        <w:autoSpaceDE w:val="0"/>
        <w:autoSpaceDN w:val="0"/>
        <w:adjustRightInd w:val="0"/>
        <w:spacing w:after="0" w:line="240" w:lineRule="auto"/>
        <w:jc w:val="both"/>
        <w:rPr>
          <w:rFonts w:ascii="Times New Roman" w:hAnsi="Times New Roman" w:cs="Times New Roman"/>
          <w:sz w:val="24"/>
          <w:szCs w:val="24"/>
          <w:lang w:val="en-PH"/>
        </w:rPr>
      </w:pPr>
    </w:p>
    <w:p w:rsidR="00BA6D43" w:rsidRDefault="00BA6D43" w:rsidP="00186D18">
      <w:pPr>
        <w:autoSpaceDE w:val="0"/>
        <w:autoSpaceDN w:val="0"/>
        <w:adjustRightInd w:val="0"/>
        <w:spacing w:after="0" w:line="240" w:lineRule="auto"/>
        <w:jc w:val="both"/>
        <w:rPr>
          <w:rFonts w:ascii="Times New Roman" w:hAnsi="Times New Roman" w:cs="Times New Roman"/>
          <w:sz w:val="24"/>
          <w:szCs w:val="24"/>
          <w:lang w:val="en-PH"/>
        </w:rPr>
      </w:pPr>
    </w:p>
    <w:p w:rsidR="005F1DE5" w:rsidRDefault="00C57271" w:rsidP="00C57271">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II</w:t>
      </w:r>
      <w:r w:rsidRPr="00CB5317">
        <w:rPr>
          <w:rFonts w:ascii="Times New Roman" w:hAnsi="Times New Roman" w:cs="Times New Roman"/>
          <w:b/>
          <w:sz w:val="28"/>
          <w:szCs w:val="28"/>
          <w:lang w:val="en-PH"/>
        </w:rPr>
        <w:t xml:space="preserve">I. </w:t>
      </w:r>
      <w:r w:rsidR="009B39A8">
        <w:rPr>
          <w:rFonts w:ascii="Times New Roman" w:hAnsi="Times New Roman" w:cs="Times New Roman"/>
          <w:b/>
          <w:sz w:val="28"/>
          <w:szCs w:val="28"/>
          <w:lang w:val="en-PH"/>
        </w:rPr>
        <w:t xml:space="preserve">Copenhagen accession criteria and their </w:t>
      </w:r>
      <w:r w:rsidR="005F1DE5">
        <w:rPr>
          <w:rFonts w:ascii="Times New Roman" w:hAnsi="Times New Roman" w:cs="Times New Roman"/>
          <w:b/>
          <w:sz w:val="28"/>
          <w:szCs w:val="28"/>
          <w:lang w:val="en-PH"/>
        </w:rPr>
        <w:t xml:space="preserve">changed </w:t>
      </w:r>
      <w:r w:rsidR="009B39A8">
        <w:rPr>
          <w:rFonts w:ascii="Times New Roman" w:hAnsi="Times New Roman" w:cs="Times New Roman"/>
          <w:b/>
          <w:sz w:val="28"/>
          <w:szCs w:val="28"/>
          <w:lang w:val="en-PH"/>
        </w:rPr>
        <w:t>interpretation with</w:t>
      </w:r>
      <w:r w:rsidR="00705087">
        <w:rPr>
          <w:rFonts w:ascii="Times New Roman" w:hAnsi="Times New Roman" w:cs="Times New Roman"/>
          <w:b/>
          <w:sz w:val="28"/>
          <w:szCs w:val="28"/>
          <w:lang w:val="en-PH"/>
        </w:rPr>
        <w:t>in</w:t>
      </w:r>
    </w:p>
    <w:p w:rsidR="00C57271" w:rsidRPr="00CB5317" w:rsidRDefault="005F1DE5" w:rsidP="00C57271">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 xml:space="preserve">      </w:t>
      </w:r>
      <w:r w:rsidR="009B39A8">
        <w:rPr>
          <w:rFonts w:ascii="Times New Roman" w:hAnsi="Times New Roman" w:cs="Times New Roman"/>
          <w:b/>
          <w:sz w:val="28"/>
          <w:szCs w:val="28"/>
          <w:lang w:val="en-PH"/>
        </w:rPr>
        <w:t xml:space="preserve"> the EU</w:t>
      </w:r>
      <w:r>
        <w:rPr>
          <w:rFonts w:ascii="Times New Roman" w:hAnsi="Times New Roman" w:cs="Times New Roman"/>
          <w:b/>
          <w:sz w:val="28"/>
          <w:szCs w:val="28"/>
          <w:lang w:val="en-PH"/>
        </w:rPr>
        <w:t xml:space="preserve"> </w:t>
      </w:r>
      <w:r w:rsidR="009B39A8">
        <w:rPr>
          <w:rFonts w:ascii="Times New Roman" w:hAnsi="Times New Roman" w:cs="Times New Roman"/>
          <w:b/>
          <w:sz w:val="28"/>
          <w:szCs w:val="28"/>
          <w:lang w:val="en-PH"/>
        </w:rPr>
        <w:t>accession negotiations</w:t>
      </w:r>
      <w:r w:rsidR="00C57271" w:rsidRPr="00CB5317">
        <w:rPr>
          <w:rFonts w:ascii="Times New Roman" w:hAnsi="Times New Roman" w:cs="Times New Roman"/>
          <w:b/>
          <w:sz w:val="28"/>
          <w:szCs w:val="28"/>
          <w:lang w:val="en-PH"/>
        </w:rPr>
        <w:t xml:space="preserve"> </w:t>
      </w:r>
    </w:p>
    <w:p w:rsidR="00C57271" w:rsidRDefault="00C57271" w:rsidP="00186D18">
      <w:pPr>
        <w:autoSpaceDE w:val="0"/>
        <w:autoSpaceDN w:val="0"/>
        <w:adjustRightInd w:val="0"/>
        <w:spacing w:after="0" w:line="240" w:lineRule="auto"/>
        <w:jc w:val="both"/>
        <w:rPr>
          <w:rFonts w:ascii="Times New Roman" w:hAnsi="Times New Roman" w:cs="Times New Roman"/>
          <w:sz w:val="24"/>
          <w:szCs w:val="24"/>
          <w:lang w:val="en-PH"/>
        </w:rPr>
      </w:pPr>
    </w:p>
    <w:p w:rsidR="00037226" w:rsidRPr="00037226" w:rsidRDefault="00037226" w:rsidP="007B29C9">
      <w:pPr>
        <w:spacing w:line="240" w:lineRule="auto"/>
        <w:jc w:val="both"/>
        <w:rPr>
          <w:rFonts w:ascii="Times New Roman" w:hAnsi="Times New Roman" w:cs="Times New Roman"/>
          <w:b/>
          <w:bCs/>
          <w:sz w:val="24"/>
          <w:szCs w:val="24"/>
          <w:lang w:val="en-US"/>
        </w:rPr>
      </w:pPr>
      <w:r w:rsidRPr="00037226">
        <w:rPr>
          <w:rFonts w:ascii="Times New Roman" w:hAnsi="Times New Roman" w:cs="Times New Roman"/>
          <w:b/>
          <w:bCs/>
          <w:sz w:val="24"/>
          <w:szCs w:val="24"/>
          <w:lang w:val="en-US"/>
        </w:rPr>
        <w:t xml:space="preserve">3.1. </w:t>
      </w:r>
      <w:r>
        <w:rPr>
          <w:rFonts w:ascii="Times New Roman" w:hAnsi="Times New Roman" w:cs="Times New Roman"/>
          <w:b/>
          <w:bCs/>
          <w:sz w:val="24"/>
          <w:szCs w:val="24"/>
          <w:lang w:val="en-US"/>
        </w:rPr>
        <w:t xml:space="preserve">Copenhagen criteria as formal criteria for accession to the EU  </w:t>
      </w:r>
      <w:r w:rsidRPr="00037226">
        <w:rPr>
          <w:rFonts w:ascii="Times New Roman" w:hAnsi="Times New Roman" w:cs="Times New Roman"/>
          <w:b/>
          <w:bCs/>
          <w:sz w:val="24"/>
          <w:szCs w:val="24"/>
          <w:lang w:val="en-US"/>
        </w:rPr>
        <w:t xml:space="preserve"> </w:t>
      </w:r>
    </w:p>
    <w:p w:rsidR="007B29C9" w:rsidRDefault="007B29C9" w:rsidP="00294B0C">
      <w:pPr>
        <w:spacing w:line="240" w:lineRule="atLeast"/>
        <w:jc w:val="both"/>
        <w:rPr>
          <w:rFonts w:ascii="Times New Roman" w:hAnsi="Times New Roman" w:cs="Times New Roman"/>
          <w:bCs/>
          <w:sz w:val="24"/>
          <w:szCs w:val="24"/>
          <w:lang w:val="en-US"/>
        </w:rPr>
      </w:pPr>
      <w:r w:rsidRPr="00006655">
        <w:rPr>
          <w:rFonts w:ascii="Times New Roman" w:hAnsi="Times New Roman" w:cs="Times New Roman"/>
          <w:bCs/>
          <w:sz w:val="24"/>
          <w:szCs w:val="24"/>
          <w:lang w:val="en-US"/>
        </w:rPr>
        <w:t xml:space="preserve">Before 1993, </w:t>
      </w:r>
      <w:r>
        <w:rPr>
          <w:rFonts w:ascii="Times New Roman" w:hAnsi="Times New Roman" w:cs="Times New Roman"/>
          <w:bCs/>
          <w:sz w:val="24"/>
          <w:szCs w:val="24"/>
          <w:lang w:val="en-US"/>
        </w:rPr>
        <w:t xml:space="preserve">there was no </w:t>
      </w:r>
      <w:r w:rsidRPr="00006655">
        <w:rPr>
          <w:rFonts w:ascii="Times New Roman" w:hAnsi="Times New Roman" w:cs="Times New Roman"/>
          <w:bCs/>
          <w:sz w:val="24"/>
          <w:szCs w:val="24"/>
          <w:lang w:val="en-US"/>
        </w:rPr>
        <w:t xml:space="preserve">formal framework for </w:t>
      </w:r>
      <w:r>
        <w:rPr>
          <w:rFonts w:ascii="Times New Roman" w:hAnsi="Times New Roman" w:cs="Times New Roman"/>
          <w:bCs/>
          <w:sz w:val="24"/>
          <w:szCs w:val="24"/>
          <w:lang w:val="en-US"/>
        </w:rPr>
        <w:t>accession of candidate countries to the EEC and then EU. With t</w:t>
      </w:r>
      <w:r w:rsidRPr="00006655">
        <w:rPr>
          <w:rFonts w:ascii="Times New Roman" w:hAnsi="Times New Roman" w:cs="Times New Roman"/>
          <w:bCs/>
          <w:sz w:val="24"/>
          <w:szCs w:val="24"/>
          <w:lang w:val="en-US"/>
        </w:rPr>
        <w:t xml:space="preserve">he </w:t>
      </w:r>
      <w:r>
        <w:rPr>
          <w:rFonts w:ascii="Times New Roman" w:hAnsi="Times New Roman" w:cs="Times New Roman"/>
          <w:bCs/>
          <w:sz w:val="24"/>
          <w:szCs w:val="24"/>
          <w:lang w:val="en-US"/>
        </w:rPr>
        <w:t>prospective E</w:t>
      </w:r>
      <w:r w:rsidRPr="00006655">
        <w:rPr>
          <w:rFonts w:ascii="Times New Roman" w:hAnsi="Times New Roman" w:cs="Times New Roman"/>
          <w:bCs/>
          <w:sz w:val="24"/>
          <w:szCs w:val="24"/>
          <w:lang w:val="en-US"/>
        </w:rPr>
        <w:t xml:space="preserve">astern enlargement </w:t>
      </w:r>
      <w:r>
        <w:rPr>
          <w:rFonts w:ascii="Times New Roman" w:hAnsi="Times New Roman" w:cs="Times New Roman"/>
          <w:bCs/>
          <w:sz w:val="24"/>
          <w:szCs w:val="24"/>
          <w:lang w:val="en-US"/>
        </w:rPr>
        <w:t xml:space="preserve">of the EU </w:t>
      </w:r>
      <w:r w:rsidRPr="00006655">
        <w:rPr>
          <w:rFonts w:ascii="Times New Roman" w:hAnsi="Times New Roman" w:cs="Times New Roman"/>
          <w:bCs/>
          <w:sz w:val="24"/>
          <w:szCs w:val="24"/>
          <w:lang w:val="en-US"/>
        </w:rPr>
        <w:t xml:space="preserve">becoming </w:t>
      </w:r>
      <w:r>
        <w:rPr>
          <w:rFonts w:ascii="Times New Roman" w:hAnsi="Times New Roman" w:cs="Times New Roman"/>
          <w:bCs/>
          <w:sz w:val="24"/>
          <w:szCs w:val="24"/>
          <w:lang w:val="en-US"/>
        </w:rPr>
        <w:t>a reality, the EU member states d</w:t>
      </w:r>
      <w:r w:rsidRPr="00006655">
        <w:rPr>
          <w:rFonts w:ascii="Times New Roman" w:hAnsi="Times New Roman" w:cs="Times New Roman"/>
          <w:bCs/>
          <w:sz w:val="24"/>
          <w:szCs w:val="24"/>
          <w:lang w:val="en-US"/>
        </w:rPr>
        <w:t xml:space="preserve">ecided </w:t>
      </w:r>
      <w:r>
        <w:rPr>
          <w:rFonts w:ascii="Times New Roman" w:hAnsi="Times New Roman" w:cs="Times New Roman"/>
          <w:bCs/>
          <w:sz w:val="24"/>
          <w:szCs w:val="24"/>
          <w:lang w:val="en-US"/>
        </w:rPr>
        <w:t xml:space="preserve">to </w:t>
      </w:r>
      <w:r w:rsidRPr="00006655">
        <w:rPr>
          <w:rFonts w:ascii="Times New Roman" w:hAnsi="Times New Roman" w:cs="Times New Roman"/>
          <w:bCs/>
          <w:sz w:val="24"/>
          <w:szCs w:val="24"/>
          <w:lang w:val="en-US"/>
        </w:rPr>
        <w:t xml:space="preserve">articulate explicit criteria </w:t>
      </w:r>
      <w:r>
        <w:rPr>
          <w:rFonts w:ascii="Times New Roman" w:hAnsi="Times New Roman" w:cs="Times New Roman"/>
          <w:bCs/>
          <w:sz w:val="24"/>
          <w:szCs w:val="24"/>
          <w:lang w:val="en-US"/>
        </w:rPr>
        <w:t xml:space="preserve">that need to be met for a candidate country to become </w:t>
      </w:r>
      <w:r w:rsidRPr="00006655">
        <w:rPr>
          <w:rFonts w:ascii="Times New Roman" w:hAnsi="Times New Roman" w:cs="Times New Roman"/>
          <w:bCs/>
          <w:sz w:val="24"/>
          <w:szCs w:val="24"/>
          <w:lang w:val="en-US"/>
        </w:rPr>
        <w:t>a</w:t>
      </w:r>
      <w:r>
        <w:rPr>
          <w:rFonts w:ascii="Times New Roman" w:hAnsi="Times New Roman" w:cs="Times New Roman"/>
          <w:bCs/>
          <w:sz w:val="24"/>
          <w:szCs w:val="24"/>
          <w:lang w:val="en-US"/>
        </w:rPr>
        <w:t xml:space="preserve">n EU member. In addition to the large number of prospective candidates, there were two other reasons that justified formalization of the accession criteria. First, the prospective candidates were countries with entirely </w:t>
      </w:r>
      <w:r w:rsidRPr="00006655">
        <w:rPr>
          <w:rFonts w:ascii="Times New Roman" w:hAnsi="Times New Roman" w:cs="Times New Roman"/>
          <w:bCs/>
          <w:sz w:val="24"/>
          <w:szCs w:val="24"/>
          <w:lang w:val="en-US"/>
        </w:rPr>
        <w:t>different political and economic background</w:t>
      </w:r>
      <w:r>
        <w:rPr>
          <w:rFonts w:ascii="Times New Roman" w:hAnsi="Times New Roman" w:cs="Times New Roman"/>
          <w:bCs/>
          <w:sz w:val="24"/>
          <w:szCs w:val="24"/>
          <w:lang w:val="en-US"/>
        </w:rPr>
        <w:t xml:space="preserve"> than the member states. And second, the prospective candidate countries were well below the level of economic development of the member states.</w:t>
      </w:r>
    </w:p>
    <w:p w:rsidR="00037226" w:rsidRDefault="007B29C9" w:rsidP="00294B0C">
      <w:pPr>
        <w:spacing w:line="240" w:lineRule="atLeast"/>
        <w:jc w:val="both"/>
        <w:rPr>
          <w:rFonts w:ascii="Times New Roman" w:hAnsi="Times New Roman" w:cs="Times New Roman"/>
          <w:color w:val="0C000F"/>
          <w:sz w:val="24"/>
          <w:szCs w:val="24"/>
          <w:shd w:val="clear" w:color="auto" w:fill="FFFFFF"/>
          <w:lang w:val="en-PH"/>
        </w:rPr>
      </w:pPr>
      <w:r w:rsidRPr="007B29C9">
        <w:rPr>
          <w:rFonts w:ascii="Times New Roman" w:hAnsi="Times New Roman" w:cs="Times New Roman"/>
          <w:bCs/>
          <w:sz w:val="24"/>
          <w:szCs w:val="24"/>
          <w:lang w:val="en-MY"/>
        </w:rPr>
        <w:t xml:space="preserve">The criteria that must be fulfilled for admission </w:t>
      </w:r>
      <w:r w:rsidR="005F1DE5">
        <w:rPr>
          <w:rFonts w:ascii="Times New Roman" w:hAnsi="Times New Roman" w:cs="Times New Roman"/>
          <w:bCs/>
          <w:sz w:val="24"/>
          <w:szCs w:val="24"/>
          <w:lang w:val="en-MY"/>
        </w:rPr>
        <w:t xml:space="preserve">to the EU </w:t>
      </w:r>
      <w:r w:rsidRPr="007B29C9">
        <w:rPr>
          <w:rFonts w:ascii="Times New Roman" w:hAnsi="Times New Roman" w:cs="Times New Roman"/>
          <w:bCs/>
          <w:sz w:val="24"/>
          <w:szCs w:val="24"/>
          <w:lang w:val="en-MY"/>
        </w:rPr>
        <w:t>(known as the Copenhagen criteria as they were established at the Copenhagen European Council in 1933) are as follows: (i) s</w:t>
      </w:r>
      <w:r w:rsidRPr="007B29C9">
        <w:rPr>
          <w:rFonts w:ascii="Times New Roman" w:eastAsia="Times New Roman" w:hAnsi="Times New Roman" w:cs="Times New Roman"/>
          <w:color w:val="444444"/>
          <w:sz w:val="24"/>
          <w:szCs w:val="24"/>
          <w:lang w:val="en-MY" w:eastAsia="sl-SI"/>
        </w:rPr>
        <w:t xml:space="preserve">tability of institutions guaranteeing democracy, the rule of law, human rights and respect for and protection of minorities (called political criteria), (ii) a functioning market economy and the ability to cope with competitive pressure and market forces within the EU (called economic criteria), and (iii) ability to take on the obligations of membership, including the capacity to effectively implement the rules, standards and policies that make up the body of EU law, and adherence to the aims of political, economic and monetary union (called acquis criteria). </w:t>
      </w:r>
      <w:r w:rsidRPr="00B757EC">
        <w:rPr>
          <w:rFonts w:ascii="Times New Roman" w:hAnsi="Times New Roman" w:cs="Times New Roman"/>
          <w:color w:val="0C000F"/>
          <w:sz w:val="24"/>
          <w:szCs w:val="24"/>
          <w:shd w:val="clear" w:color="auto" w:fill="FFFFFF"/>
          <w:lang w:val="en-PH"/>
        </w:rPr>
        <w:t xml:space="preserve">The European Commission </w:t>
      </w:r>
      <w:r>
        <w:rPr>
          <w:rFonts w:ascii="Times New Roman" w:hAnsi="Times New Roman" w:cs="Times New Roman"/>
          <w:color w:val="0C000F"/>
          <w:sz w:val="24"/>
          <w:szCs w:val="24"/>
          <w:shd w:val="clear" w:color="auto" w:fill="FFFFFF"/>
          <w:lang w:val="en-PH"/>
        </w:rPr>
        <w:t xml:space="preserve">has been providing on an annual basis, through so-called Progress Reports, </w:t>
      </w:r>
      <w:r w:rsidRPr="00B757EC">
        <w:rPr>
          <w:rFonts w:ascii="Times New Roman" w:hAnsi="Times New Roman" w:cs="Times New Roman"/>
          <w:color w:val="0C000F"/>
          <w:sz w:val="24"/>
          <w:szCs w:val="24"/>
          <w:shd w:val="clear" w:color="auto" w:fill="FFFFFF"/>
          <w:lang w:val="en-PH"/>
        </w:rPr>
        <w:t xml:space="preserve">an </w:t>
      </w:r>
      <w:r>
        <w:rPr>
          <w:rFonts w:ascii="Times New Roman" w:hAnsi="Times New Roman" w:cs="Times New Roman"/>
          <w:color w:val="0C000F"/>
          <w:sz w:val="24"/>
          <w:szCs w:val="24"/>
          <w:shd w:val="clear" w:color="auto" w:fill="FFFFFF"/>
          <w:lang w:val="en-PH"/>
        </w:rPr>
        <w:t xml:space="preserve">assessment </w:t>
      </w:r>
      <w:r w:rsidRPr="00B757EC">
        <w:rPr>
          <w:rFonts w:ascii="Times New Roman" w:hAnsi="Times New Roman" w:cs="Times New Roman"/>
          <w:color w:val="0C000F"/>
          <w:sz w:val="24"/>
          <w:szCs w:val="24"/>
          <w:shd w:val="clear" w:color="auto" w:fill="FFFFFF"/>
          <w:lang w:val="en-PH"/>
        </w:rPr>
        <w:t xml:space="preserve">of </w:t>
      </w:r>
      <w:r>
        <w:rPr>
          <w:rFonts w:ascii="Times New Roman" w:hAnsi="Times New Roman" w:cs="Times New Roman"/>
          <w:color w:val="0C000F"/>
          <w:sz w:val="24"/>
          <w:szCs w:val="24"/>
          <w:shd w:val="clear" w:color="auto" w:fill="FFFFFF"/>
          <w:lang w:val="en-PH"/>
        </w:rPr>
        <w:t>a candidate country’s progress with respect to the fulfillment of the criteria.</w:t>
      </w:r>
    </w:p>
    <w:p w:rsidR="00037226" w:rsidRDefault="00037226" w:rsidP="007B29C9">
      <w:pPr>
        <w:spacing w:line="240" w:lineRule="auto"/>
        <w:jc w:val="both"/>
        <w:rPr>
          <w:rFonts w:ascii="Times New Roman" w:hAnsi="Times New Roman" w:cs="Times New Roman"/>
          <w:b/>
          <w:color w:val="0C000F"/>
          <w:sz w:val="24"/>
          <w:szCs w:val="24"/>
          <w:shd w:val="clear" w:color="auto" w:fill="FFFFFF"/>
          <w:lang w:val="en-PH"/>
        </w:rPr>
      </w:pPr>
      <w:r w:rsidRPr="00037226">
        <w:rPr>
          <w:rFonts w:ascii="Times New Roman" w:hAnsi="Times New Roman" w:cs="Times New Roman"/>
          <w:b/>
          <w:color w:val="0C000F"/>
          <w:sz w:val="24"/>
          <w:szCs w:val="24"/>
          <w:shd w:val="clear" w:color="auto" w:fill="FFFFFF"/>
          <w:lang w:val="en-PH"/>
        </w:rPr>
        <w:t xml:space="preserve">3.2. </w:t>
      </w:r>
      <w:r w:rsidR="009B39A8">
        <w:rPr>
          <w:rFonts w:ascii="Times New Roman" w:hAnsi="Times New Roman" w:cs="Times New Roman"/>
          <w:b/>
          <w:color w:val="0C000F"/>
          <w:sz w:val="24"/>
          <w:szCs w:val="24"/>
          <w:shd w:val="clear" w:color="auto" w:fill="FFFFFF"/>
          <w:lang w:val="en-PH"/>
        </w:rPr>
        <w:t xml:space="preserve">Evolution </w:t>
      </w:r>
      <w:r w:rsidR="00705087">
        <w:rPr>
          <w:rFonts w:ascii="Times New Roman" w:hAnsi="Times New Roman" w:cs="Times New Roman"/>
          <w:b/>
          <w:color w:val="0C000F"/>
          <w:sz w:val="24"/>
          <w:szCs w:val="24"/>
          <w:shd w:val="clear" w:color="auto" w:fill="FFFFFF"/>
          <w:lang w:val="en-PH"/>
        </w:rPr>
        <w:t xml:space="preserve">in interpretation </w:t>
      </w:r>
      <w:r w:rsidR="009B39A8">
        <w:rPr>
          <w:rFonts w:ascii="Times New Roman" w:hAnsi="Times New Roman" w:cs="Times New Roman"/>
          <w:b/>
          <w:color w:val="0C000F"/>
          <w:sz w:val="24"/>
          <w:szCs w:val="24"/>
          <w:shd w:val="clear" w:color="auto" w:fill="FFFFFF"/>
          <w:lang w:val="en-PH"/>
        </w:rPr>
        <w:t xml:space="preserve">of the EU accession criteria: from </w:t>
      </w:r>
      <w:r>
        <w:rPr>
          <w:rFonts w:ascii="Times New Roman" w:hAnsi="Times New Roman" w:cs="Times New Roman"/>
          <w:b/>
          <w:color w:val="0C000F"/>
          <w:sz w:val="24"/>
          <w:szCs w:val="24"/>
          <w:shd w:val="clear" w:color="auto" w:fill="FFFFFF"/>
          <w:lang w:val="en-PH"/>
        </w:rPr>
        <w:t>softer to more rigorous</w:t>
      </w:r>
    </w:p>
    <w:p w:rsidR="00037226" w:rsidRDefault="00B276F5" w:rsidP="00294B0C">
      <w:pPr>
        <w:autoSpaceDE w:val="0"/>
        <w:autoSpaceDN w:val="0"/>
        <w:adjustRightInd w:val="0"/>
        <w:spacing w:after="0" w:line="240" w:lineRule="atLeast"/>
        <w:jc w:val="both"/>
        <w:rPr>
          <w:rFonts w:ascii="Times New Roman" w:hAnsi="Times New Roman" w:cs="Times New Roman"/>
          <w:sz w:val="24"/>
          <w:szCs w:val="24"/>
          <w:lang w:val="en-PH"/>
        </w:rPr>
      </w:pPr>
      <w:r w:rsidRPr="00B276F5">
        <w:rPr>
          <w:rFonts w:ascii="Times New Roman" w:hAnsi="Times New Roman" w:cs="Times New Roman"/>
          <w:sz w:val="24"/>
          <w:szCs w:val="24"/>
          <w:lang w:val="en-PH"/>
        </w:rPr>
        <w:t xml:space="preserve">The wording of the Copenhagen criteria has </w:t>
      </w:r>
      <w:r>
        <w:rPr>
          <w:rFonts w:ascii="Times New Roman" w:hAnsi="Times New Roman" w:cs="Times New Roman"/>
          <w:sz w:val="24"/>
          <w:szCs w:val="24"/>
          <w:lang w:val="en-PH"/>
        </w:rPr>
        <w:t xml:space="preserve">not </w:t>
      </w:r>
      <w:r w:rsidRPr="00B276F5">
        <w:rPr>
          <w:rFonts w:ascii="Times New Roman" w:hAnsi="Times New Roman" w:cs="Times New Roman"/>
          <w:sz w:val="24"/>
          <w:szCs w:val="24"/>
          <w:lang w:val="en-PH"/>
        </w:rPr>
        <w:t xml:space="preserve">been changed over time. </w:t>
      </w:r>
      <w:r w:rsidR="00037226" w:rsidRPr="00B276F5">
        <w:rPr>
          <w:rFonts w:ascii="Times New Roman" w:hAnsi="Times New Roman" w:cs="Times New Roman"/>
          <w:sz w:val="24"/>
          <w:szCs w:val="24"/>
          <w:lang w:val="en-PH"/>
        </w:rPr>
        <w:t xml:space="preserve">It has always been the case that </w:t>
      </w:r>
      <w:r>
        <w:rPr>
          <w:rFonts w:ascii="Times New Roman" w:hAnsi="Times New Roman" w:cs="Times New Roman"/>
          <w:sz w:val="24"/>
          <w:szCs w:val="24"/>
          <w:lang w:val="en-PH"/>
        </w:rPr>
        <w:t xml:space="preserve">the EU </w:t>
      </w:r>
      <w:r w:rsidR="00037226" w:rsidRPr="00B276F5">
        <w:rPr>
          <w:rFonts w:ascii="Times New Roman" w:hAnsi="Times New Roman" w:cs="Times New Roman"/>
          <w:sz w:val="24"/>
          <w:szCs w:val="24"/>
          <w:lang w:val="en-PH"/>
        </w:rPr>
        <w:t xml:space="preserve">candidate countries were required to meet </w:t>
      </w:r>
      <w:r w:rsidRPr="00B276F5">
        <w:rPr>
          <w:rFonts w:ascii="Times New Roman" w:hAnsi="Times New Roman" w:cs="Times New Roman"/>
          <w:sz w:val="24"/>
          <w:szCs w:val="24"/>
          <w:lang w:val="en-PH"/>
        </w:rPr>
        <w:t xml:space="preserve">the </w:t>
      </w:r>
      <w:r w:rsidR="00037226" w:rsidRPr="00B276F5">
        <w:rPr>
          <w:rFonts w:ascii="Times New Roman" w:hAnsi="Times New Roman" w:cs="Times New Roman"/>
          <w:sz w:val="24"/>
          <w:szCs w:val="24"/>
          <w:lang w:val="en-PH"/>
        </w:rPr>
        <w:t>accession conditions. The difference lies in the substance of this phrase. “Fulfilling necessary</w:t>
      </w:r>
      <w:r w:rsidRPr="00B276F5">
        <w:rPr>
          <w:rFonts w:ascii="Times New Roman" w:hAnsi="Times New Roman" w:cs="Times New Roman"/>
          <w:sz w:val="24"/>
          <w:szCs w:val="24"/>
          <w:lang w:val="en-PH"/>
        </w:rPr>
        <w:t xml:space="preserve"> </w:t>
      </w:r>
      <w:r w:rsidR="00037226" w:rsidRPr="00B276F5">
        <w:rPr>
          <w:rFonts w:ascii="Times New Roman" w:hAnsi="Times New Roman" w:cs="Times New Roman"/>
          <w:sz w:val="24"/>
          <w:szCs w:val="24"/>
          <w:lang w:val="en-PH"/>
        </w:rPr>
        <w:t xml:space="preserve">conditions” can be interpreted in various ways. During the Eastern </w:t>
      </w:r>
      <w:r w:rsidRPr="00B276F5">
        <w:rPr>
          <w:rFonts w:ascii="Times New Roman" w:hAnsi="Times New Roman" w:cs="Times New Roman"/>
          <w:sz w:val="24"/>
          <w:szCs w:val="24"/>
          <w:lang w:val="en-PH"/>
        </w:rPr>
        <w:t>e</w:t>
      </w:r>
      <w:r w:rsidR="00037226" w:rsidRPr="00B276F5">
        <w:rPr>
          <w:rFonts w:ascii="Times New Roman" w:hAnsi="Times New Roman" w:cs="Times New Roman"/>
          <w:sz w:val="24"/>
          <w:szCs w:val="24"/>
          <w:lang w:val="en-PH"/>
        </w:rPr>
        <w:t>nlargement,</w:t>
      </w:r>
      <w:r w:rsidRPr="00B276F5">
        <w:rPr>
          <w:rFonts w:ascii="Times New Roman" w:hAnsi="Times New Roman" w:cs="Times New Roman"/>
          <w:sz w:val="24"/>
          <w:szCs w:val="24"/>
          <w:lang w:val="en-PH"/>
        </w:rPr>
        <w:t xml:space="preserve"> </w:t>
      </w:r>
      <w:r w:rsidR="00037226" w:rsidRPr="00B276F5">
        <w:rPr>
          <w:rFonts w:ascii="Times New Roman" w:hAnsi="Times New Roman" w:cs="Times New Roman"/>
          <w:sz w:val="24"/>
          <w:szCs w:val="24"/>
          <w:lang w:val="en-PH"/>
        </w:rPr>
        <w:t>it was interpreted rather benevolently, due to the strong pro-enlargement political</w:t>
      </w:r>
      <w:r>
        <w:rPr>
          <w:rFonts w:ascii="Times New Roman" w:hAnsi="Times New Roman" w:cs="Times New Roman"/>
          <w:sz w:val="24"/>
          <w:szCs w:val="24"/>
          <w:lang w:val="en-PH"/>
        </w:rPr>
        <w:t xml:space="preserve"> </w:t>
      </w:r>
      <w:r w:rsidR="00037226" w:rsidRPr="00B276F5">
        <w:rPr>
          <w:rFonts w:ascii="Times New Roman" w:hAnsi="Times New Roman" w:cs="Times New Roman"/>
          <w:sz w:val="24"/>
          <w:szCs w:val="24"/>
          <w:lang w:val="en-PH"/>
        </w:rPr>
        <w:t>commitment of the member states and the “convoy” type of negotiations. After this</w:t>
      </w:r>
      <w:r w:rsidRPr="00B276F5">
        <w:rPr>
          <w:rFonts w:ascii="Times New Roman" w:hAnsi="Times New Roman" w:cs="Times New Roman"/>
          <w:sz w:val="24"/>
          <w:szCs w:val="24"/>
          <w:lang w:val="en-PH"/>
        </w:rPr>
        <w:t xml:space="preserve"> </w:t>
      </w:r>
      <w:r w:rsidR="00037226" w:rsidRPr="00B276F5">
        <w:rPr>
          <w:rFonts w:ascii="Times New Roman" w:hAnsi="Times New Roman" w:cs="Times New Roman"/>
          <w:sz w:val="24"/>
          <w:szCs w:val="24"/>
          <w:lang w:val="en-PH"/>
        </w:rPr>
        <w:t>enlargement, there was a growing belief that significant challenges that needed to</w:t>
      </w:r>
      <w:r w:rsidRPr="00B276F5">
        <w:rPr>
          <w:rFonts w:ascii="Times New Roman" w:hAnsi="Times New Roman" w:cs="Times New Roman"/>
          <w:sz w:val="24"/>
          <w:szCs w:val="24"/>
          <w:lang w:val="en-PH"/>
        </w:rPr>
        <w:t xml:space="preserve"> </w:t>
      </w:r>
      <w:r w:rsidR="00037226" w:rsidRPr="00B276F5">
        <w:rPr>
          <w:rFonts w:ascii="Times New Roman" w:hAnsi="Times New Roman" w:cs="Times New Roman"/>
          <w:sz w:val="24"/>
          <w:szCs w:val="24"/>
          <w:lang w:val="en-PH"/>
        </w:rPr>
        <w:t>be tackled remained in some new and prospective members in the areas of the rule</w:t>
      </w:r>
      <w:r w:rsidRPr="00B276F5">
        <w:rPr>
          <w:rFonts w:ascii="Times New Roman" w:hAnsi="Times New Roman" w:cs="Times New Roman"/>
          <w:sz w:val="24"/>
          <w:szCs w:val="24"/>
          <w:lang w:val="en-PH"/>
        </w:rPr>
        <w:t xml:space="preserve"> </w:t>
      </w:r>
      <w:r w:rsidR="00037226" w:rsidRPr="00B276F5">
        <w:rPr>
          <w:rFonts w:ascii="Times New Roman" w:hAnsi="Times New Roman" w:cs="Times New Roman"/>
          <w:sz w:val="24"/>
          <w:szCs w:val="24"/>
          <w:lang w:val="en-PH"/>
        </w:rPr>
        <w:t>of law, and activities against organized crime and corruption. The new approach</w:t>
      </w:r>
      <w:r w:rsidRPr="00B276F5">
        <w:rPr>
          <w:rFonts w:ascii="Times New Roman" w:hAnsi="Times New Roman" w:cs="Times New Roman"/>
          <w:sz w:val="24"/>
          <w:szCs w:val="24"/>
          <w:lang w:val="en-PH"/>
        </w:rPr>
        <w:t xml:space="preserve"> </w:t>
      </w:r>
      <w:r>
        <w:rPr>
          <w:rFonts w:ascii="Times New Roman" w:hAnsi="Times New Roman" w:cs="Times New Roman"/>
          <w:sz w:val="24"/>
          <w:szCs w:val="24"/>
          <w:lang w:val="en-PH"/>
        </w:rPr>
        <w:t xml:space="preserve">embodied in the 2014 Enlargement Strategy </w:t>
      </w:r>
      <w:r w:rsidR="00037226" w:rsidRPr="00B276F5">
        <w:rPr>
          <w:rFonts w:ascii="Times New Roman" w:hAnsi="Times New Roman" w:cs="Times New Roman"/>
          <w:sz w:val="24"/>
          <w:szCs w:val="24"/>
          <w:lang w:val="en-PH"/>
        </w:rPr>
        <w:t xml:space="preserve">also reiterated the need for </w:t>
      </w:r>
      <w:r w:rsidR="00037226" w:rsidRPr="00B276F5">
        <w:rPr>
          <w:rFonts w:ascii="Times New Roman" w:hAnsi="Times New Roman" w:cs="Times New Roman"/>
          <w:sz w:val="24"/>
          <w:szCs w:val="24"/>
          <w:lang w:val="en-PH"/>
        </w:rPr>
        <w:lastRenderedPageBreak/>
        <w:t>more rigorous conditionality and greater emphasis</w:t>
      </w:r>
      <w:r>
        <w:rPr>
          <w:rFonts w:ascii="Times New Roman" w:hAnsi="Times New Roman" w:cs="Times New Roman"/>
          <w:sz w:val="24"/>
          <w:szCs w:val="24"/>
          <w:lang w:val="en-PH"/>
        </w:rPr>
        <w:t xml:space="preserve"> </w:t>
      </w:r>
      <w:r w:rsidR="00037226" w:rsidRPr="00B276F5">
        <w:rPr>
          <w:rFonts w:ascii="Times New Roman" w:hAnsi="Times New Roman" w:cs="Times New Roman"/>
          <w:sz w:val="24"/>
          <w:szCs w:val="24"/>
          <w:lang w:val="en-PH"/>
        </w:rPr>
        <w:t>on the EU’s absorption capacity, i.e., its capacity to accept new members,</w:t>
      </w:r>
      <w:r>
        <w:rPr>
          <w:rFonts w:ascii="Times New Roman" w:hAnsi="Times New Roman" w:cs="Times New Roman"/>
          <w:sz w:val="24"/>
          <w:szCs w:val="24"/>
          <w:lang w:val="en-PH"/>
        </w:rPr>
        <w:t xml:space="preserve"> </w:t>
      </w:r>
      <w:r w:rsidR="00037226" w:rsidRPr="00B276F5">
        <w:rPr>
          <w:rFonts w:ascii="Times New Roman" w:hAnsi="Times New Roman" w:cs="Times New Roman"/>
          <w:sz w:val="24"/>
          <w:szCs w:val="24"/>
          <w:lang w:val="en-PH"/>
        </w:rPr>
        <w:t>in accession negotiations</w:t>
      </w:r>
      <w:r w:rsidRPr="00B276F5">
        <w:rPr>
          <w:rStyle w:val="FootnoteReference"/>
          <w:rFonts w:ascii="Times New Roman" w:hAnsi="Times New Roman" w:cs="Times New Roman"/>
          <w:sz w:val="24"/>
          <w:szCs w:val="24"/>
          <w:lang w:val="en-PH"/>
        </w:rPr>
        <w:footnoteReference w:id="10"/>
      </w:r>
      <w:r>
        <w:rPr>
          <w:rFonts w:ascii="Times New Roman" w:hAnsi="Times New Roman" w:cs="Times New Roman"/>
          <w:sz w:val="24"/>
          <w:szCs w:val="24"/>
          <w:lang w:val="en-PH"/>
        </w:rPr>
        <w:t xml:space="preserve">. </w:t>
      </w:r>
    </w:p>
    <w:p w:rsidR="00B276F5" w:rsidRPr="00B276F5" w:rsidRDefault="00B276F5" w:rsidP="00294B0C">
      <w:pPr>
        <w:autoSpaceDE w:val="0"/>
        <w:autoSpaceDN w:val="0"/>
        <w:adjustRightInd w:val="0"/>
        <w:spacing w:after="0" w:line="240" w:lineRule="atLeast"/>
        <w:jc w:val="both"/>
        <w:rPr>
          <w:rFonts w:ascii="Times New Roman" w:hAnsi="Times New Roman" w:cs="Times New Roman"/>
          <w:b/>
          <w:color w:val="0C000F"/>
          <w:sz w:val="24"/>
          <w:szCs w:val="24"/>
          <w:shd w:val="clear" w:color="auto" w:fill="FFFFFF"/>
          <w:lang w:val="en-PH"/>
        </w:rPr>
      </w:pPr>
    </w:p>
    <w:p w:rsidR="00587175" w:rsidRDefault="00B276F5" w:rsidP="00294B0C">
      <w:pPr>
        <w:spacing w:line="240" w:lineRule="atLeast"/>
        <w:jc w:val="both"/>
        <w:rPr>
          <w:rFonts w:ascii="Times New Roman" w:hAnsi="Times New Roman" w:cs="Times New Roman"/>
          <w:sz w:val="24"/>
          <w:szCs w:val="24"/>
          <w:lang w:val="en-PH"/>
        </w:rPr>
      </w:pPr>
      <w:r>
        <w:rPr>
          <w:rFonts w:ascii="Times New Roman" w:hAnsi="Times New Roman" w:cs="Times New Roman"/>
          <w:color w:val="0C000F"/>
          <w:sz w:val="24"/>
          <w:szCs w:val="24"/>
          <w:shd w:val="clear" w:color="auto" w:fill="FFFFFF"/>
          <w:lang w:val="en-PH"/>
        </w:rPr>
        <w:t xml:space="preserve">During the Eastern enlargement of 2004/2007, </w:t>
      </w:r>
      <w:r w:rsidR="007B29C9">
        <w:rPr>
          <w:rFonts w:ascii="Times New Roman" w:hAnsi="Times New Roman" w:cs="Times New Roman"/>
          <w:color w:val="0C000F"/>
          <w:sz w:val="24"/>
          <w:szCs w:val="24"/>
          <w:shd w:val="clear" w:color="auto" w:fill="FFFFFF"/>
          <w:lang w:val="en-PH"/>
        </w:rPr>
        <w:t xml:space="preserve">the EU accession process was </w:t>
      </w:r>
      <w:r w:rsidR="00D773CE">
        <w:rPr>
          <w:rFonts w:ascii="Times New Roman" w:hAnsi="Times New Roman" w:cs="Times New Roman"/>
          <w:color w:val="0C000F"/>
          <w:sz w:val="24"/>
          <w:szCs w:val="24"/>
          <w:shd w:val="clear" w:color="auto" w:fill="FFFFFF"/>
          <w:lang w:val="en-PH"/>
        </w:rPr>
        <w:t xml:space="preserve">focused on implementation of the </w:t>
      </w:r>
      <w:r w:rsidR="007B29C9">
        <w:rPr>
          <w:rFonts w:ascii="Times New Roman" w:hAnsi="Times New Roman" w:cs="Times New Roman"/>
          <w:color w:val="0C000F"/>
          <w:sz w:val="24"/>
          <w:szCs w:val="24"/>
          <w:shd w:val="clear" w:color="auto" w:fill="FFFFFF"/>
          <w:lang w:val="en-PH"/>
        </w:rPr>
        <w:t xml:space="preserve">acquis criteria </w:t>
      </w:r>
      <w:r w:rsidR="00D773CE">
        <w:rPr>
          <w:rFonts w:ascii="Times New Roman" w:hAnsi="Times New Roman" w:cs="Times New Roman"/>
          <w:color w:val="0C000F"/>
          <w:sz w:val="24"/>
          <w:szCs w:val="24"/>
          <w:shd w:val="clear" w:color="auto" w:fill="FFFFFF"/>
          <w:lang w:val="en-PH"/>
        </w:rPr>
        <w:t xml:space="preserve">and much less on meeting the political and economic criteria. </w:t>
      </w:r>
      <w:r w:rsidR="00587175" w:rsidRPr="00587175">
        <w:rPr>
          <w:rFonts w:ascii="Times New Roman" w:hAnsi="Times New Roman" w:cs="Times New Roman"/>
          <w:sz w:val="24"/>
          <w:szCs w:val="24"/>
          <w:lang w:val="en-PH"/>
        </w:rPr>
        <w:t xml:space="preserve">The 2014 Enlargement Strategy articulated a new approach for the EU candidate countries to meet the Copenhagen political and economic criteria. One important novelty </w:t>
      </w:r>
      <w:r w:rsidR="006C3508">
        <w:rPr>
          <w:rFonts w:ascii="Times New Roman" w:hAnsi="Times New Roman" w:cs="Times New Roman"/>
          <w:sz w:val="24"/>
          <w:szCs w:val="24"/>
          <w:lang w:val="en-PH"/>
        </w:rPr>
        <w:t xml:space="preserve">of this Strategy was </w:t>
      </w:r>
      <w:r w:rsidR="00587175" w:rsidRPr="00587175">
        <w:rPr>
          <w:rFonts w:ascii="Times New Roman" w:hAnsi="Times New Roman" w:cs="Times New Roman"/>
          <w:sz w:val="24"/>
          <w:szCs w:val="24"/>
          <w:lang w:val="en-PH"/>
        </w:rPr>
        <w:t>introduction of benchmarks aimed at strengthening the monitoring of the negotiation. Benchmarks were required to be met in order to either open negotiations on a particular chapter (“opening benchmarks”) or to provisionally close the negotiating process on that very chapter (“closing benchmarks”).</w:t>
      </w:r>
      <w:r w:rsidR="00587175">
        <w:rPr>
          <w:rFonts w:ascii="Times New Roman" w:hAnsi="Times New Roman" w:cs="Times New Roman"/>
          <w:sz w:val="24"/>
          <w:szCs w:val="24"/>
          <w:lang w:val="en-PH"/>
        </w:rPr>
        <w:t xml:space="preserve"> </w:t>
      </w:r>
    </w:p>
    <w:p w:rsidR="00C57271" w:rsidRDefault="00587175" w:rsidP="00294B0C">
      <w:pPr>
        <w:autoSpaceDE w:val="0"/>
        <w:autoSpaceDN w:val="0"/>
        <w:adjustRightInd w:val="0"/>
        <w:spacing w:after="0" w:line="240" w:lineRule="atLeast"/>
        <w:jc w:val="both"/>
        <w:rPr>
          <w:rFonts w:ascii="Times New Roman" w:hAnsi="Times New Roman" w:cs="Times New Roman"/>
          <w:sz w:val="24"/>
          <w:szCs w:val="24"/>
          <w:lang w:val="en-PH"/>
        </w:rPr>
      </w:pPr>
      <w:r w:rsidRPr="006C3508">
        <w:rPr>
          <w:rFonts w:ascii="Times New Roman" w:hAnsi="Times New Roman" w:cs="Times New Roman"/>
          <w:sz w:val="24"/>
          <w:szCs w:val="24"/>
          <w:lang w:val="en-PH"/>
        </w:rPr>
        <w:t xml:space="preserve">The </w:t>
      </w:r>
      <w:r w:rsidR="006C3508" w:rsidRPr="006C3508">
        <w:rPr>
          <w:rFonts w:ascii="Times New Roman" w:hAnsi="Times New Roman" w:cs="Times New Roman"/>
          <w:sz w:val="24"/>
          <w:szCs w:val="24"/>
          <w:lang w:val="en-PH"/>
        </w:rPr>
        <w:t xml:space="preserve">2014 Enlargement Strategy </w:t>
      </w:r>
      <w:r w:rsidRPr="006C3508">
        <w:rPr>
          <w:rFonts w:ascii="Times New Roman" w:hAnsi="Times New Roman" w:cs="Times New Roman"/>
          <w:sz w:val="24"/>
          <w:szCs w:val="24"/>
          <w:lang w:val="en-PH"/>
        </w:rPr>
        <w:t>introduced another fundamental novelty in the EU accession negotiations process. In previous enlargement negotiation chapters addressing the political criteria</w:t>
      </w:r>
      <w:r w:rsidR="006C3508" w:rsidRPr="006C3508">
        <w:rPr>
          <w:rFonts w:ascii="Times New Roman" w:hAnsi="Times New Roman" w:cs="Times New Roman"/>
          <w:sz w:val="24"/>
          <w:szCs w:val="24"/>
          <w:lang w:val="en-PH"/>
        </w:rPr>
        <w:t xml:space="preserve"> </w:t>
      </w:r>
      <w:r w:rsidRPr="006C3508">
        <w:rPr>
          <w:rFonts w:ascii="Times New Roman" w:hAnsi="Times New Roman" w:cs="Times New Roman"/>
          <w:sz w:val="24"/>
          <w:szCs w:val="24"/>
          <w:lang w:val="en-PH"/>
        </w:rPr>
        <w:t>were opened quite late within the process. As a consequence</w:t>
      </w:r>
      <w:r w:rsidR="006C3508" w:rsidRPr="006C3508">
        <w:rPr>
          <w:rFonts w:ascii="Times New Roman" w:hAnsi="Times New Roman" w:cs="Times New Roman"/>
          <w:sz w:val="24"/>
          <w:szCs w:val="24"/>
          <w:lang w:val="en-PH"/>
        </w:rPr>
        <w:t xml:space="preserve">, </w:t>
      </w:r>
      <w:r w:rsidRPr="006C3508">
        <w:rPr>
          <w:rFonts w:ascii="Times New Roman" w:hAnsi="Times New Roman" w:cs="Times New Roman"/>
          <w:sz w:val="24"/>
          <w:szCs w:val="24"/>
          <w:lang w:val="en-PH"/>
        </w:rPr>
        <w:t>they had often been closed prematurely within the context of the political pressure to finalize the negotiation process. Based on the conclusion that meeting the political criteria usually takes a very long time to achieve, the EU decided that reforms of the candidate countries in these areas need to be “front-loaded”.</w:t>
      </w:r>
      <w:r w:rsidR="006C3508" w:rsidRPr="006C3508">
        <w:rPr>
          <w:rFonts w:ascii="Times New Roman" w:hAnsi="Times New Roman" w:cs="Times New Roman"/>
          <w:sz w:val="24"/>
          <w:szCs w:val="24"/>
          <w:lang w:val="en-PH"/>
        </w:rPr>
        <w:t xml:space="preserve"> This in practice led to the situation that negotiating chapters addressing the political criteria were </w:t>
      </w:r>
      <w:r w:rsidR="006C3508" w:rsidRPr="006C3508">
        <w:rPr>
          <w:rFonts w:ascii="Times New Roman" w:hAnsi="Times New Roman" w:cs="Times New Roman"/>
          <w:i/>
          <w:iCs/>
          <w:sz w:val="24"/>
          <w:szCs w:val="24"/>
          <w:lang w:val="en-PH"/>
        </w:rPr>
        <w:t xml:space="preserve">de-facto </w:t>
      </w:r>
      <w:r w:rsidR="006C3508" w:rsidRPr="006C3508">
        <w:rPr>
          <w:rFonts w:ascii="Times New Roman" w:hAnsi="Times New Roman" w:cs="Times New Roman"/>
          <w:sz w:val="24"/>
          <w:szCs w:val="24"/>
          <w:lang w:val="en-PH"/>
        </w:rPr>
        <w:t>given the role of “controller” of the negotiations</w:t>
      </w:r>
      <w:r w:rsidR="00063409">
        <w:rPr>
          <w:rStyle w:val="FootnoteReference"/>
          <w:rFonts w:ascii="Times New Roman" w:hAnsi="Times New Roman" w:cs="Times New Roman"/>
          <w:sz w:val="24"/>
          <w:szCs w:val="24"/>
          <w:lang w:val="en-PH"/>
        </w:rPr>
        <w:footnoteReference w:id="11"/>
      </w:r>
      <w:r w:rsidR="006C3508" w:rsidRPr="006C3508">
        <w:rPr>
          <w:rFonts w:ascii="Times New Roman" w:hAnsi="Times New Roman" w:cs="Times New Roman"/>
          <w:sz w:val="24"/>
          <w:szCs w:val="24"/>
          <w:lang w:val="en-PH"/>
        </w:rPr>
        <w:t>.</w:t>
      </w:r>
    </w:p>
    <w:p w:rsidR="00B276F5" w:rsidRPr="006C3508" w:rsidRDefault="00B276F5" w:rsidP="00294B0C">
      <w:pPr>
        <w:autoSpaceDE w:val="0"/>
        <w:autoSpaceDN w:val="0"/>
        <w:adjustRightInd w:val="0"/>
        <w:spacing w:after="0" w:line="240" w:lineRule="atLeast"/>
        <w:jc w:val="both"/>
        <w:rPr>
          <w:rFonts w:ascii="Times New Roman" w:hAnsi="Times New Roman" w:cs="Times New Roman"/>
          <w:sz w:val="24"/>
          <w:szCs w:val="24"/>
          <w:lang w:val="en-PH"/>
        </w:rPr>
      </w:pPr>
    </w:p>
    <w:p w:rsidR="006C3508" w:rsidRDefault="006C3508" w:rsidP="00294B0C">
      <w:pPr>
        <w:tabs>
          <w:tab w:val="num" w:pos="720"/>
          <w:tab w:val="num" w:pos="1440"/>
        </w:tabs>
        <w:spacing w:line="240" w:lineRule="atLeast"/>
        <w:jc w:val="both"/>
        <w:rPr>
          <w:rFonts w:ascii="Times New Roman" w:hAnsi="Times New Roman" w:cs="Times New Roman"/>
          <w:sz w:val="24"/>
          <w:szCs w:val="24"/>
          <w:lang w:val="en-MY"/>
        </w:rPr>
      </w:pPr>
      <w:r>
        <w:rPr>
          <w:rFonts w:ascii="Times New Roman" w:hAnsi="Times New Roman" w:cs="Times New Roman"/>
          <w:sz w:val="24"/>
          <w:szCs w:val="24"/>
          <w:lang w:val="en-MY"/>
        </w:rPr>
        <w:t>Even though the incorporation of the economic governance among the “fundamental first</w:t>
      </w:r>
      <w:r w:rsidR="00485FAC">
        <w:rPr>
          <w:rFonts w:ascii="Times New Roman" w:hAnsi="Times New Roman" w:cs="Times New Roman"/>
          <w:sz w:val="24"/>
          <w:szCs w:val="24"/>
          <w:lang w:val="en-MY"/>
        </w:rPr>
        <w:t>”</w:t>
      </w:r>
      <w:r>
        <w:rPr>
          <w:rFonts w:ascii="Times New Roman" w:hAnsi="Times New Roman" w:cs="Times New Roman"/>
          <w:sz w:val="24"/>
          <w:szCs w:val="24"/>
          <w:lang w:val="en-MY"/>
        </w:rPr>
        <w:t xml:space="preserve"> pillars under the 2014 EU Enlargement Strategy</w:t>
      </w:r>
      <w:r w:rsidR="00485FAC">
        <w:rPr>
          <w:rFonts w:ascii="Times New Roman" w:hAnsi="Times New Roman" w:cs="Times New Roman"/>
          <w:sz w:val="24"/>
          <w:szCs w:val="24"/>
          <w:lang w:val="en-MY"/>
        </w:rPr>
        <w:t xml:space="preserve"> </w:t>
      </w:r>
      <w:r>
        <w:rPr>
          <w:rFonts w:ascii="Times New Roman" w:hAnsi="Times New Roman" w:cs="Times New Roman"/>
          <w:sz w:val="24"/>
          <w:szCs w:val="24"/>
          <w:lang w:val="en-MY"/>
        </w:rPr>
        <w:t xml:space="preserve">made this area more visible and formally more important within the EU accession process, the subject </w:t>
      </w:r>
      <w:r w:rsidR="00B276F5">
        <w:rPr>
          <w:rFonts w:ascii="Times New Roman" w:hAnsi="Times New Roman" w:cs="Times New Roman"/>
          <w:sz w:val="24"/>
          <w:szCs w:val="24"/>
          <w:lang w:val="en-MY"/>
        </w:rPr>
        <w:t xml:space="preserve">of economic criteria </w:t>
      </w:r>
      <w:r>
        <w:rPr>
          <w:rFonts w:ascii="Times New Roman" w:hAnsi="Times New Roman" w:cs="Times New Roman"/>
          <w:sz w:val="24"/>
          <w:szCs w:val="24"/>
          <w:lang w:val="en-MY"/>
        </w:rPr>
        <w:t>remained in practical terms a rather stagnant segment of the overall process including the accession negotiations</w:t>
      </w:r>
      <w:r w:rsidR="00485FAC">
        <w:rPr>
          <w:rStyle w:val="FootnoteReference"/>
          <w:rFonts w:ascii="Times New Roman" w:hAnsi="Times New Roman" w:cs="Times New Roman"/>
          <w:sz w:val="24"/>
          <w:szCs w:val="24"/>
          <w:lang w:val="en-MY"/>
        </w:rPr>
        <w:footnoteReference w:id="12"/>
      </w:r>
      <w:r>
        <w:rPr>
          <w:rFonts w:ascii="Times New Roman" w:hAnsi="Times New Roman" w:cs="Times New Roman"/>
          <w:sz w:val="24"/>
          <w:szCs w:val="24"/>
          <w:lang w:val="en-MY"/>
        </w:rPr>
        <w:t xml:space="preserve">. In contrast to the expectations, </w:t>
      </w:r>
      <w:r w:rsidR="009B39A8">
        <w:rPr>
          <w:rFonts w:ascii="Times New Roman" w:hAnsi="Times New Roman" w:cs="Times New Roman"/>
          <w:sz w:val="24"/>
          <w:szCs w:val="24"/>
          <w:lang w:val="en-MY"/>
        </w:rPr>
        <w:t xml:space="preserve">the Strategy </w:t>
      </w:r>
      <w:r>
        <w:rPr>
          <w:rFonts w:ascii="Times New Roman" w:hAnsi="Times New Roman" w:cs="Times New Roman"/>
          <w:sz w:val="24"/>
          <w:szCs w:val="24"/>
          <w:lang w:val="en-MY"/>
        </w:rPr>
        <w:t xml:space="preserve">was only partially successful in intensifying the candidate countries’ reforms that </w:t>
      </w:r>
      <w:r w:rsidR="009B39A8">
        <w:rPr>
          <w:rFonts w:ascii="Times New Roman" w:hAnsi="Times New Roman" w:cs="Times New Roman"/>
          <w:sz w:val="24"/>
          <w:szCs w:val="24"/>
          <w:lang w:val="en-MY"/>
        </w:rPr>
        <w:t xml:space="preserve">were </w:t>
      </w:r>
      <w:r>
        <w:rPr>
          <w:rFonts w:ascii="Times New Roman" w:hAnsi="Times New Roman" w:cs="Times New Roman"/>
          <w:sz w:val="24"/>
          <w:szCs w:val="24"/>
          <w:lang w:val="en-MY"/>
        </w:rPr>
        <w:t>needed to support economic growth and international competiveness</w:t>
      </w:r>
      <w:r w:rsidR="00485FAC">
        <w:rPr>
          <w:rFonts w:ascii="Times New Roman" w:hAnsi="Times New Roman" w:cs="Times New Roman"/>
          <w:sz w:val="24"/>
          <w:szCs w:val="24"/>
          <w:lang w:val="en-MY"/>
        </w:rPr>
        <w:t>.</w:t>
      </w:r>
      <w:r>
        <w:rPr>
          <w:rFonts w:ascii="Times New Roman" w:hAnsi="Times New Roman" w:cs="Times New Roman"/>
          <w:sz w:val="24"/>
          <w:szCs w:val="24"/>
          <w:lang w:val="en-MY"/>
        </w:rPr>
        <w:t xml:space="preserve"> </w:t>
      </w:r>
    </w:p>
    <w:p w:rsidR="00EB11FC" w:rsidRDefault="009B39A8" w:rsidP="00EB11FC">
      <w:pPr>
        <w:pStyle w:val="NoSpacing"/>
        <w:rPr>
          <w:rFonts w:ascii="Times New Roman" w:hAnsi="Times New Roman" w:cs="Times New Roman"/>
          <w:b/>
          <w:sz w:val="24"/>
          <w:szCs w:val="24"/>
          <w:shd w:val="clear" w:color="auto" w:fill="FFFFFF"/>
          <w:lang w:val="en-PH"/>
        </w:rPr>
      </w:pPr>
      <w:r w:rsidRPr="00EB11FC">
        <w:rPr>
          <w:rFonts w:ascii="Times New Roman" w:hAnsi="Times New Roman" w:cs="Times New Roman"/>
          <w:b/>
          <w:sz w:val="24"/>
          <w:szCs w:val="24"/>
          <w:shd w:val="clear" w:color="auto" w:fill="FFFFFF"/>
          <w:lang w:val="en-PH"/>
        </w:rPr>
        <w:t xml:space="preserve">3.3. The EU negotiations under the 2020 Enlargement </w:t>
      </w:r>
      <w:r w:rsidR="005133FB" w:rsidRPr="00EB11FC">
        <w:rPr>
          <w:rFonts w:ascii="Times New Roman" w:hAnsi="Times New Roman" w:cs="Times New Roman"/>
          <w:b/>
          <w:sz w:val="24"/>
          <w:szCs w:val="24"/>
          <w:shd w:val="clear" w:color="auto" w:fill="FFFFFF"/>
          <w:lang w:val="en-PH"/>
        </w:rPr>
        <w:t>M</w:t>
      </w:r>
      <w:r w:rsidR="00E902FF" w:rsidRPr="00EB11FC">
        <w:rPr>
          <w:rFonts w:ascii="Times New Roman" w:hAnsi="Times New Roman" w:cs="Times New Roman"/>
          <w:b/>
          <w:sz w:val="24"/>
          <w:szCs w:val="24"/>
          <w:shd w:val="clear" w:color="auto" w:fill="FFFFFF"/>
          <w:lang w:val="en-PH"/>
        </w:rPr>
        <w:t xml:space="preserve">ethodology </w:t>
      </w:r>
      <w:r w:rsidRPr="00EB11FC">
        <w:rPr>
          <w:rFonts w:ascii="Times New Roman" w:hAnsi="Times New Roman" w:cs="Times New Roman"/>
          <w:b/>
          <w:sz w:val="24"/>
          <w:szCs w:val="24"/>
          <w:shd w:val="clear" w:color="auto" w:fill="FFFFFF"/>
          <w:lang w:val="en-PH"/>
        </w:rPr>
        <w:t>of the EU</w:t>
      </w:r>
      <w:r w:rsidR="00EB11FC" w:rsidRPr="00EB11FC">
        <w:rPr>
          <w:rFonts w:ascii="Times New Roman" w:hAnsi="Times New Roman" w:cs="Times New Roman"/>
          <w:b/>
          <w:sz w:val="24"/>
          <w:szCs w:val="24"/>
          <w:shd w:val="clear" w:color="auto" w:fill="FFFFFF"/>
          <w:lang w:val="en-PH"/>
        </w:rPr>
        <w:t>: towards</w:t>
      </w:r>
    </w:p>
    <w:p w:rsidR="009B39A8" w:rsidRPr="00EB11FC" w:rsidRDefault="00EB11FC" w:rsidP="00EB11FC">
      <w:pPr>
        <w:pStyle w:val="NoSpacing"/>
        <w:rPr>
          <w:rFonts w:ascii="Times New Roman" w:hAnsi="Times New Roman" w:cs="Times New Roman"/>
          <w:b/>
          <w:sz w:val="24"/>
          <w:szCs w:val="24"/>
          <w:shd w:val="clear" w:color="auto" w:fill="FFFFFF"/>
          <w:lang w:val="en-PH"/>
        </w:rPr>
      </w:pPr>
      <w:r>
        <w:rPr>
          <w:rFonts w:ascii="Times New Roman" w:hAnsi="Times New Roman" w:cs="Times New Roman"/>
          <w:b/>
          <w:sz w:val="24"/>
          <w:szCs w:val="24"/>
          <w:shd w:val="clear" w:color="auto" w:fill="FFFFFF"/>
          <w:lang w:val="en-PH"/>
        </w:rPr>
        <w:t xml:space="preserve">       </w:t>
      </w:r>
      <w:r w:rsidRPr="00EB11FC">
        <w:rPr>
          <w:rFonts w:ascii="Times New Roman" w:hAnsi="Times New Roman" w:cs="Times New Roman"/>
          <w:b/>
          <w:sz w:val="24"/>
          <w:szCs w:val="24"/>
          <w:shd w:val="clear" w:color="auto" w:fill="FFFFFF"/>
          <w:lang w:val="en-PH"/>
        </w:rPr>
        <w:t xml:space="preserve"> </w:t>
      </w:r>
      <w:r>
        <w:rPr>
          <w:rFonts w:ascii="Times New Roman" w:hAnsi="Times New Roman" w:cs="Times New Roman"/>
          <w:b/>
          <w:sz w:val="24"/>
          <w:szCs w:val="24"/>
          <w:shd w:val="clear" w:color="auto" w:fill="FFFFFF"/>
          <w:lang w:val="en-PH"/>
        </w:rPr>
        <w:t>e</w:t>
      </w:r>
      <w:r w:rsidRPr="00EB11FC">
        <w:rPr>
          <w:rFonts w:ascii="Times New Roman" w:hAnsi="Times New Roman" w:cs="Times New Roman"/>
          <w:b/>
          <w:sz w:val="24"/>
          <w:szCs w:val="24"/>
          <w:shd w:val="clear" w:color="auto" w:fill="FFFFFF"/>
          <w:lang w:val="en-PH"/>
        </w:rPr>
        <w:t>ven</w:t>
      </w:r>
      <w:r>
        <w:rPr>
          <w:rFonts w:ascii="Times New Roman" w:hAnsi="Times New Roman" w:cs="Times New Roman"/>
          <w:b/>
          <w:sz w:val="24"/>
          <w:szCs w:val="24"/>
          <w:shd w:val="clear" w:color="auto" w:fill="FFFFFF"/>
          <w:lang w:val="en-PH"/>
        </w:rPr>
        <w:t xml:space="preserve"> more rigorous i</w:t>
      </w:r>
      <w:r w:rsidRPr="00EB11FC">
        <w:rPr>
          <w:rFonts w:ascii="Times New Roman" w:hAnsi="Times New Roman" w:cs="Times New Roman"/>
          <w:b/>
          <w:sz w:val="24"/>
          <w:szCs w:val="24"/>
          <w:shd w:val="clear" w:color="auto" w:fill="FFFFFF"/>
          <w:lang w:val="en-PH"/>
        </w:rPr>
        <w:t xml:space="preserve">nterpretation of the Copenhagen economic criteria </w:t>
      </w:r>
      <w:r w:rsidR="009B39A8" w:rsidRPr="00EB11FC">
        <w:rPr>
          <w:rFonts w:ascii="Times New Roman" w:hAnsi="Times New Roman" w:cs="Times New Roman"/>
          <w:b/>
          <w:sz w:val="24"/>
          <w:szCs w:val="24"/>
          <w:shd w:val="clear" w:color="auto" w:fill="FFFFFF"/>
          <w:lang w:val="en-PH"/>
        </w:rPr>
        <w:t xml:space="preserve"> </w:t>
      </w:r>
    </w:p>
    <w:p w:rsidR="00EB11FC" w:rsidRDefault="00EB11FC" w:rsidP="00294B0C">
      <w:pPr>
        <w:autoSpaceDE w:val="0"/>
        <w:autoSpaceDN w:val="0"/>
        <w:adjustRightInd w:val="0"/>
        <w:spacing w:after="0" w:line="240" w:lineRule="atLeast"/>
        <w:jc w:val="both"/>
        <w:rPr>
          <w:rFonts w:ascii="Times New Roman" w:hAnsi="Times New Roman" w:cs="Times New Roman"/>
          <w:sz w:val="24"/>
          <w:szCs w:val="24"/>
          <w:lang w:val="en-ZA"/>
        </w:rPr>
      </w:pPr>
    </w:p>
    <w:p w:rsidR="005133FB" w:rsidRDefault="00E902FF" w:rsidP="00294B0C">
      <w:pPr>
        <w:autoSpaceDE w:val="0"/>
        <w:autoSpaceDN w:val="0"/>
        <w:adjustRightInd w:val="0"/>
        <w:spacing w:after="0" w:line="240" w:lineRule="atLeast"/>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New </w:t>
      </w:r>
      <w:r w:rsidRPr="00863BCE">
        <w:rPr>
          <w:rFonts w:ascii="Times New Roman" w:hAnsi="Times New Roman" w:cs="Times New Roman"/>
          <w:sz w:val="24"/>
          <w:szCs w:val="24"/>
          <w:lang w:val="en-ZA"/>
        </w:rPr>
        <w:t xml:space="preserve">EU </w:t>
      </w:r>
      <w:r w:rsidR="00963FF3">
        <w:rPr>
          <w:rFonts w:ascii="Times New Roman" w:hAnsi="Times New Roman" w:cs="Times New Roman"/>
          <w:sz w:val="24"/>
          <w:szCs w:val="24"/>
          <w:lang w:val="en-ZA"/>
        </w:rPr>
        <w:t>E</w:t>
      </w:r>
      <w:r w:rsidRPr="00863BCE">
        <w:rPr>
          <w:rFonts w:ascii="Times New Roman" w:hAnsi="Times New Roman" w:cs="Times New Roman"/>
          <w:sz w:val="24"/>
          <w:szCs w:val="24"/>
          <w:lang w:val="en-ZA"/>
        </w:rPr>
        <w:t xml:space="preserve">nlargement </w:t>
      </w:r>
      <w:r w:rsidR="005133FB">
        <w:rPr>
          <w:rFonts w:ascii="Times New Roman" w:hAnsi="Times New Roman" w:cs="Times New Roman"/>
          <w:sz w:val="24"/>
          <w:szCs w:val="24"/>
          <w:lang w:val="en-ZA"/>
        </w:rPr>
        <w:t>M</w:t>
      </w:r>
      <w:r w:rsidRPr="00863BCE">
        <w:rPr>
          <w:rFonts w:ascii="Times New Roman" w:hAnsi="Times New Roman" w:cs="Times New Roman"/>
          <w:sz w:val="24"/>
          <w:szCs w:val="24"/>
          <w:lang w:val="en-ZA"/>
        </w:rPr>
        <w:t xml:space="preserve">ethodology adopted in </w:t>
      </w:r>
      <w:r>
        <w:rPr>
          <w:rFonts w:ascii="Times New Roman" w:hAnsi="Times New Roman" w:cs="Times New Roman"/>
          <w:sz w:val="24"/>
          <w:szCs w:val="24"/>
          <w:lang w:val="en-ZA"/>
        </w:rPr>
        <w:t xml:space="preserve">February </w:t>
      </w:r>
      <w:r w:rsidRPr="00863BCE">
        <w:rPr>
          <w:rFonts w:ascii="Times New Roman" w:hAnsi="Times New Roman" w:cs="Times New Roman"/>
          <w:sz w:val="24"/>
          <w:szCs w:val="24"/>
          <w:lang w:val="en-ZA"/>
        </w:rPr>
        <w:t>2020</w:t>
      </w:r>
      <w:r w:rsidR="0079129B">
        <w:rPr>
          <w:rStyle w:val="FootnoteReference"/>
          <w:rFonts w:ascii="Times New Roman" w:hAnsi="Times New Roman" w:cs="Times New Roman"/>
          <w:sz w:val="24"/>
          <w:szCs w:val="24"/>
          <w:lang w:val="en-ZA"/>
        </w:rPr>
        <w:footnoteReference w:id="13"/>
      </w:r>
      <w:r w:rsidRPr="00863BCE">
        <w:rPr>
          <w:rFonts w:ascii="Times New Roman" w:hAnsi="Times New Roman" w:cs="Times New Roman"/>
          <w:sz w:val="24"/>
          <w:szCs w:val="24"/>
          <w:lang w:val="en-ZA"/>
        </w:rPr>
        <w:t xml:space="preserve"> </w:t>
      </w:r>
      <w:r w:rsidRPr="0079129B">
        <w:rPr>
          <w:rFonts w:ascii="Times New Roman" w:hAnsi="Times New Roman" w:cs="Times New Roman"/>
          <w:i/>
          <w:sz w:val="24"/>
          <w:szCs w:val="24"/>
          <w:lang w:val="en-ZA"/>
        </w:rPr>
        <w:t>de-facto</w:t>
      </w:r>
      <w:r w:rsidRPr="00863BCE">
        <w:rPr>
          <w:rFonts w:ascii="Times New Roman" w:hAnsi="Times New Roman" w:cs="Times New Roman"/>
          <w:sz w:val="24"/>
          <w:szCs w:val="24"/>
          <w:lang w:val="en-ZA"/>
        </w:rPr>
        <w:t xml:space="preserve"> represents a guidance for a new</w:t>
      </w:r>
      <w:r>
        <w:rPr>
          <w:rFonts w:ascii="Times New Roman" w:hAnsi="Times New Roman" w:cs="Times New Roman"/>
          <w:sz w:val="24"/>
          <w:szCs w:val="24"/>
          <w:lang w:val="en-ZA"/>
        </w:rPr>
        <w:t xml:space="preserve"> generation </w:t>
      </w:r>
      <w:r w:rsidRPr="00863BCE">
        <w:rPr>
          <w:rFonts w:ascii="Times New Roman" w:hAnsi="Times New Roman" w:cs="Times New Roman"/>
          <w:sz w:val="24"/>
          <w:szCs w:val="24"/>
          <w:lang w:val="en-ZA"/>
        </w:rPr>
        <w:t>of the EU accession negotiations</w:t>
      </w:r>
      <w:r>
        <w:rPr>
          <w:rFonts w:ascii="Times New Roman" w:hAnsi="Times New Roman" w:cs="Times New Roman"/>
          <w:sz w:val="24"/>
          <w:szCs w:val="24"/>
          <w:lang w:val="en-ZA"/>
        </w:rPr>
        <w:t xml:space="preserve">. </w:t>
      </w:r>
      <w:r w:rsidRPr="00863BCE">
        <w:rPr>
          <w:rFonts w:ascii="Times New Roman" w:hAnsi="Times New Roman" w:cs="Times New Roman"/>
          <w:sz w:val="24"/>
          <w:szCs w:val="24"/>
          <w:lang w:val="en-ZA"/>
        </w:rPr>
        <w:t xml:space="preserve">It provides a conceptual framework for the forthcoming EU accession negotiations of North Macedonia and Albania. </w:t>
      </w:r>
    </w:p>
    <w:p w:rsidR="005133FB" w:rsidRDefault="005133FB" w:rsidP="00294B0C">
      <w:pPr>
        <w:autoSpaceDE w:val="0"/>
        <w:autoSpaceDN w:val="0"/>
        <w:adjustRightInd w:val="0"/>
        <w:spacing w:after="0" w:line="240" w:lineRule="atLeast"/>
        <w:jc w:val="both"/>
        <w:rPr>
          <w:rFonts w:ascii="Times New Roman" w:hAnsi="Times New Roman" w:cs="Times New Roman"/>
          <w:sz w:val="24"/>
          <w:szCs w:val="24"/>
          <w:lang w:val="en-ZA"/>
        </w:rPr>
      </w:pPr>
    </w:p>
    <w:p w:rsidR="005133FB" w:rsidRDefault="00E902FF" w:rsidP="00294B0C">
      <w:pPr>
        <w:autoSpaceDE w:val="0"/>
        <w:autoSpaceDN w:val="0"/>
        <w:adjustRightInd w:val="0"/>
        <w:spacing w:after="0" w:line="240" w:lineRule="atLeast"/>
        <w:jc w:val="both"/>
        <w:rPr>
          <w:rFonts w:ascii="Times New Roman" w:hAnsi="Times New Roman" w:cs="Times New Roman"/>
          <w:sz w:val="24"/>
          <w:szCs w:val="24"/>
          <w:lang w:val="en-NZ"/>
        </w:rPr>
      </w:pPr>
      <w:r>
        <w:rPr>
          <w:rFonts w:ascii="Times New Roman" w:hAnsi="Times New Roman" w:cs="Times New Roman"/>
          <w:sz w:val="24"/>
          <w:szCs w:val="24"/>
          <w:lang w:val="en-ZA"/>
        </w:rPr>
        <w:t xml:space="preserve">The </w:t>
      </w:r>
      <w:r w:rsidR="005133FB">
        <w:rPr>
          <w:rFonts w:ascii="Times New Roman" w:hAnsi="Times New Roman" w:cs="Times New Roman"/>
          <w:sz w:val="24"/>
          <w:szCs w:val="24"/>
          <w:lang w:val="en-ZA"/>
        </w:rPr>
        <w:t>2020 Enlargement M</w:t>
      </w:r>
      <w:r>
        <w:rPr>
          <w:rFonts w:ascii="Times New Roman" w:hAnsi="Times New Roman" w:cs="Times New Roman"/>
          <w:sz w:val="24"/>
          <w:szCs w:val="24"/>
          <w:lang w:val="en-ZA"/>
        </w:rPr>
        <w:t xml:space="preserve">ethodology </w:t>
      </w:r>
      <w:r w:rsidRPr="00181D53">
        <w:rPr>
          <w:rFonts w:ascii="Times New Roman" w:hAnsi="Times New Roman" w:cs="Times New Roman"/>
          <w:sz w:val="24"/>
          <w:szCs w:val="24"/>
          <w:lang w:val="en-NZ"/>
        </w:rPr>
        <w:t>is based on four principles</w:t>
      </w:r>
      <w:r>
        <w:rPr>
          <w:rFonts w:ascii="Times New Roman" w:hAnsi="Times New Roman" w:cs="Times New Roman"/>
          <w:sz w:val="24"/>
          <w:szCs w:val="24"/>
          <w:lang w:val="en-NZ"/>
        </w:rPr>
        <w:t xml:space="preserve">: </w:t>
      </w:r>
    </w:p>
    <w:p w:rsidR="005133FB" w:rsidRDefault="005133FB" w:rsidP="00294B0C">
      <w:pPr>
        <w:autoSpaceDE w:val="0"/>
        <w:autoSpaceDN w:val="0"/>
        <w:adjustRightInd w:val="0"/>
        <w:spacing w:after="0" w:line="240" w:lineRule="atLeast"/>
        <w:jc w:val="both"/>
        <w:rPr>
          <w:rFonts w:ascii="Times New Roman" w:hAnsi="Times New Roman" w:cs="Times New Roman"/>
          <w:sz w:val="24"/>
          <w:szCs w:val="24"/>
          <w:lang w:val="en-NZ"/>
        </w:rPr>
      </w:pPr>
    </w:p>
    <w:p w:rsidR="005133FB" w:rsidRDefault="00E902FF" w:rsidP="0064323C">
      <w:pPr>
        <w:pStyle w:val="ListParagraph"/>
        <w:numPr>
          <w:ilvl w:val="0"/>
          <w:numId w:val="23"/>
        </w:numPr>
        <w:autoSpaceDE w:val="0"/>
        <w:autoSpaceDN w:val="0"/>
        <w:adjustRightInd w:val="0"/>
        <w:spacing w:after="0" w:line="240" w:lineRule="atLeast"/>
        <w:ind w:left="426"/>
        <w:jc w:val="both"/>
        <w:rPr>
          <w:rFonts w:ascii="Times New Roman" w:hAnsi="Times New Roman" w:cs="Times New Roman"/>
          <w:sz w:val="24"/>
          <w:szCs w:val="24"/>
          <w:lang w:val="en-NZ"/>
        </w:rPr>
      </w:pPr>
      <w:r w:rsidRPr="005133FB">
        <w:rPr>
          <w:rFonts w:ascii="Times New Roman" w:hAnsi="Times New Roman" w:cs="Times New Roman"/>
          <w:i/>
          <w:sz w:val="24"/>
          <w:szCs w:val="24"/>
          <w:lang w:val="en-NZ"/>
        </w:rPr>
        <w:t>more credibility;</w:t>
      </w:r>
      <w:r w:rsidRPr="005133FB">
        <w:rPr>
          <w:rFonts w:ascii="Times New Roman" w:hAnsi="Times New Roman" w:cs="Times New Roman"/>
          <w:sz w:val="24"/>
          <w:szCs w:val="24"/>
          <w:lang w:val="en-NZ"/>
        </w:rPr>
        <w:t xml:space="preserve"> For the accession process to restore credibility on both sides, it needs to be based on solid trust, mutual confidence and clear communication. </w:t>
      </w:r>
    </w:p>
    <w:p w:rsidR="005133FB" w:rsidRDefault="00E902FF" w:rsidP="0064323C">
      <w:pPr>
        <w:pStyle w:val="ListParagraph"/>
        <w:numPr>
          <w:ilvl w:val="0"/>
          <w:numId w:val="23"/>
        </w:numPr>
        <w:autoSpaceDE w:val="0"/>
        <w:autoSpaceDN w:val="0"/>
        <w:adjustRightInd w:val="0"/>
        <w:spacing w:after="0" w:line="240" w:lineRule="atLeast"/>
        <w:ind w:left="426"/>
        <w:jc w:val="both"/>
        <w:rPr>
          <w:rFonts w:ascii="Times New Roman" w:hAnsi="Times New Roman" w:cs="Times New Roman"/>
          <w:sz w:val="24"/>
          <w:szCs w:val="24"/>
          <w:lang w:val="en-NZ"/>
        </w:rPr>
      </w:pPr>
      <w:r w:rsidRPr="005133FB">
        <w:rPr>
          <w:rFonts w:ascii="Times New Roman" w:hAnsi="Times New Roman" w:cs="Times New Roman"/>
          <w:i/>
          <w:sz w:val="24"/>
          <w:szCs w:val="24"/>
          <w:lang w:val="en-NZ"/>
        </w:rPr>
        <w:t>stronger political steer;</w:t>
      </w:r>
      <w:r w:rsidRPr="005133FB">
        <w:rPr>
          <w:rFonts w:ascii="Times New Roman" w:hAnsi="Times New Roman" w:cs="Times New Roman"/>
          <w:sz w:val="24"/>
          <w:szCs w:val="24"/>
          <w:lang w:val="en-NZ"/>
        </w:rPr>
        <w:t xml:space="preserve"> While EU accession negotiation have been considered pretty much a technical process in which on the EU side the European Commission plays an important if not even dominant role, in future these negotiations should get s stronger political connotation. </w:t>
      </w:r>
    </w:p>
    <w:p w:rsidR="005133FB" w:rsidRDefault="00E902FF" w:rsidP="0064323C">
      <w:pPr>
        <w:pStyle w:val="ListParagraph"/>
        <w:numPr>
          <w:ilvl w:val="0"/>
          <w:numId w:val="23"/>
        </w:numPr>
        <w:autoSpaceDE w:val="0"/>
        <w:autoSpaceDN w:val="0"/>
        <w:adjustRightInd w:val="0"/>
        <w:spacing w:after="0" w:line="240" w:lineRule="atLeast"/>
        <w:ind w:left="426"/>
        <w:jc w:val="both"/>
        <w:rPr>
          <w:rFonts w:ascii="Times New Roman" w:hAnsi="Times New Roman" w:cs="Times New Roman"/>
          <w:sz w:val="24"/>
          <w:szCs w:val="24"/>
          <w:lang w:val="en-NZ"/>
        </w:rPr>
      </w:pPr>
      <w:r w:rsidRPr="005133FB">
        <w:rPr>
          <w:rFonts w:ascii="Times New Roman" w:hAnsi="Times New Roman" w:cs="Times New Roman"/>
          <w:i/>
          <w:sz w:val="24"/>
          <w:szCs w:val="24"/>
          <w:lang w:val="en-NZ"/>
        </w:rPr>
        <w:t xml:space="preserve">a more dynamic process; </w:t>
      </w:r>
      <w:r w:rsidRPr="005133FB">
        <w:rPr>
          <w:rFonts w:ascii="Times New Roman" w:hAnsi="Times New Roman" w:cs="Times New Roman"/>
          <w:sz w:val="24"/>
          <w:szCs w:val="24"/>
          <w:lang w:val="en-NZ"/>
        </w:rPr>
        <w:t xml:space="preserve">The methodology is aimed to make the accession process more dynamic. This means a possibility for faster negotiations of those candidate countries who </w:t>
      </w:r>
      <w:r w:rsidRPr="005133FB">
        <w:rPr>
          <w:rFonts w:ascii="Times New Roman" w:hAnsi="Times New Roman" w:cs="Times New Roman"/>
          <w:sz w:val="24"/>
          <w:szCs w:val="24"/>
          <w:lang w:val="en-NZ"/>
        </w:rPr>
        <w:lastRenderedPageBreak/>
        <w:t xml:space="preserve">can and wish to move forward quicker. On the other hand, for those who opt to go slower also the enlargement process will be slowed down. </w:t>
      </w:r>
    </w:p>
    <w:p w:rsidR="00E902FF" w:rsidRPr="005133FB" w:rsidRDefault="00E902FF" w:rsidP="0064323C">
      <w:pPr>
        <w:pStyle w:val="ListParagraph"/>
        <w:numPr>
          <w:ilvl w:val="0"/>
          <w:numId w:val="23"/>
        </w:numPr>
        <w:autoSpaceDE w:val="0"/>
        <w:autoSpaceDN w:val="0"/>
        <w:adjustRightInd w:val="0"/>
        <w:spacing w:after="0" w:line="240" w:lineRule="atLeast"/>
        <w:ind w:left="426"/>
        <w:jc w:val="both"/>
        <w:rPr>
          <w:rFonts w:ascii="Times New Roman" w:hAnsi="Times New Roman" w:cs="Times New Roman"/>
          <w:sz w:val="24"/>
          <w:szCs w:val="24"/>
          <w:lang w:val="en-NZ"/>
        </w:rPr>
      </w:pPr>
      <w:r w:rsidRPr="005133FB">
        <w:rPr>
          <w:rFonts w:ascii="Times New Roman" w:hAnsi="Times New Roman" w:cs="Times New Roman"/>
          <w:i/>
          <w:sz w:val="24"/>
          <w:szCs w:val="24"/>
          <w:lang w:val="en-NZ"/>
        </w:rPr>
        <w:t>predictability, positive and negative conditionality;</w:t>
      </w:r>
      <w:r w:rsidRPr="005133FB">
        <w:rPr>
          <w:rFonts w:ascii="Times New Roman" w:hAnsi="Times New Roman" w:cs="Times New Roman"/>
          <w:sz w:val="24"/>
          <w:szCs w:val="24"/>
          <w:lang w:val="en-NZ"/>
        </w:rPr>
        <w:t xml:space="preserve"> There has been a strong call on the side of the member states as well as the candidate countries for the process to be more predictable and with more clarity on what the EU expects from the candidate countries and consequently what are the positive consequences of the progress achieved or the negative consequences associated with the lack of progress. </w:t>
      </w:r>
    </w:p>
    <w:p w:rsidR="00E902FF" w:rsidRDefault="00E902FF" w:rsidP="00294B0C">
      <w:pPr>
        <w:autoSpaceDE w:val="0"/>
        <w:autoSpaceDN w:val="0"/>
        <w:adjustRightInd w:val="0"/>
        <w:spacing w:after="0" w:line="240" w:lineRule="atLeast"/>
        <w:jc w:val="both"/>
        <w:rPr>
          <w:rFonts w:ascii="Times New Roman" w:hAnsi="Times New Roman" w:cs="Times New Roman"/>
          <w:b/>
          <w:sz w:val="24"/>
          <w:szCs w:val="24"/>
          <w:lang w:val="en-NZ"/>
        </w:rPr>
      </w:pPr>
    </w:p>
    <w:p w:rsidR="00963FF3" w:rsidRDefault="00963FF3" w:rsidP="00294B0C">
      <w:pPr>
        <w:autoSpaceDE w:val="0"/>
        <w:autoSpaceDN w:val="0"/>
        <w:adjustRightInd w:val="0"/>
        <w:spacing w:after="0" w:line="240" w:lineRule="atLeast"/>
        <w:jc w:val="both"/>
        <w:rPr>
          <w:rFonts w:ascii="Times New Roman" w:hAnsi="Times New Roman" w:cs="Times New Roman"/>
          <w:sz w:val="24"/>
          <w:szCs w:val="24"/>
          <w:lang w:val="en-US"/>
        </w:rPr>
      </w:pPr>
      <w:r w:rsidRPr="00FD4E5E">
        <w:rPr>
          <w:rFonts w:ascii="Times New Roman" w:hAnsi="Times New Roman" w:cs="Times New Roman"/>
          <w:sz w:val="24"/>
          <w:szCs w:val="24"/>
          <w:lang w:val="en-TT"/>
        </w:rPr>
        <w:t xml:space="preserve">The new generation of </w:t>
      </w:r>
      <w:r w:rsidR="003234D5">
        <w:rPr>
          <w:rFonts w:ascii="Times New Roman" w:hAnsi="Times New Roman" w:cs="Times New Roman"/>
          <w:sz w:val="24"/>
          <w:szCs w:val="24"/>
          <w:lang w:val="en-TT"/>
        </w:rPr>
        <w:t xml:space="preserve">the EU </w:t>
      </w:r>
      <w:r w:rsidRPr="00FD4E5E">
        <w:rPr>
          <w:rFonts w:ascii="Times New Roman" w:hAnsi="Times New Roman" w:cs="Times New Roman"/>
          <w:sz w:val="24"/>
          <w:szCs w:val="24"/>
          <w:lang w:val="en-TT"/>
        </w:rPr>
        <w:t xml:space="preserve">enlargement negotiations based on the 2020 </w:t>
      </w:r>
      <w:r>
        <w:rPr>
          <w:rFonts w:ascii="Times New Roman" w:hAnsi="Times New Roman" w:cs="Times New Roman"/>
          <w:sz w:val="24"/>
          <w:szCs w:val="24"/>
          <w:lang w:val="en-TT"/>
        </w:rPr>
        <w:t>E</w:t>
      </w:r>
      <w:r w:rsidRPr="00FD4E5E">
        <w:rPr>
          <w:rFonts w:ascii="Times New Roman" w:hAnsi="Times New Roman" w:cs="Times New Roman"/>
          <w:sz w:val="24"/>
          <w:szCs w:val="24"/>
          <w:lang w:val="en-TT"/>
        </w:rPr>
        <w:t xml:space="preserve">nlargement </w:t>
      </w:r>
      <w:r w:rsidR="005133FB">
        <w:rPr>
          <w:rFonts w:ascii="Times New Roman" w:hAnsi="Times New Roman" w:cs="Times New Roman"/>
          <w:sz w:val="24"/>
          <w:szCs w:val="24"/>
          <w:lang w:val="en-TT"/>
        </w:rPr>
        <w:t>M</w:t>
      </w:r>
      <w:r w:rsidRPr="00FD4E5E">
        <w:rPr>
          <w:rFonts w:ascii="Times New Roman" w:hAnsi="Times New Roman" w:cs="Times New Roman"/>
          <w:sz w:val="24"/>
          <w:szCs w:val="24"/>
          <w:lang w:val="en-TT"/>
        </w:rPr>
        <w:t xml:space="preserve">ethodology will be in a number of ways quite different from </w:t>
      </w:r>
      <w:r w:rsidR="003234D5">
        <w:rPr>
          <w:rFonts w:ascii="Times New Roman" w:hAnsi="Times New Roman" w:cs="Times New Roman"/>
          <w:sz w:val="24"/>
          <w:szCs w:val="24"/>
          <w:lang w:val="en-TT"/>
        </w:rPr>
        <w:t xml:space="preserve">the </w:t>
      </w:r>
      <w:r w:rsidRPr="00FD4E5E">
        <w:rPr>
          <w:rFonts w:ascii="Times New Roman" w:hAnsi="Times New Roman" w:cs="Times New Roman"/>
          <w:sz w:val="24"/>
          <w:szCs w:val="24"/>
          <w:lang w:val="en-TT"/>
        </w:rPr>
        <w:t xml:space="preserve">EU enlargement negotiations in the past, including the ongoing accession negotiations with Montenegro and Serbia. </w:t>
      </w:r>
      <w:r>
        <w:rPr>
          <w:rFonts w:ascii="Times New Roman" w:hAnsi="Times New Roman" w:cs="Times New Roman"/>
          <w:sz w:val="24"/>
          <w:szCs w:val="24"/>
          <w:lang w:val="en-TT"/>
        </w:rPr>
        <w:t xml:space="preserve">On the one hand, it is </w:t>
      </w:r>
      <w:r w:rsidR="00205FDF">
        <w:rPr>
          <w:rFonts w:ascii="Times New Roman" w:hAnsi="Times New Roman" w:cs="Times New Roman"/>
          <w:sz w:val="24"/>
          <w:szCs w:val="24"/>
          <w:lang w:val="en-TT"/>
        </w:rPr>
        <w:t xml:space="preserve">designed </w:t>
      </w:r>
      <w:r>
        <w:rPr>
          <w:rFonts w:ascii="Times New Roman" w:hAnsi="Times New Roman" w:cs="Times New Roman"/>
          <w:sz w:val="24"/>
          <w:szCs w:val="24"/>
          <w:lang w:val="en-US"/>
        </w:rPr>
        <w:t>in a way that require</w:t>
      </w:r>
      <w:r w:rsidR="00205FDF">
        <w:rPr>
          <w:rFonts w:ascii="Times New Roman" w:hAnsi="Times New Roman" w:cs="Times New Roman"/>
          <w:sz w:val="24"/>
          <w:szCs w:val="24"/>
          <w:lang w:val="en-US"/>
        </w:rPr>
        <w:t>s</w:t>
      </w:r>
      <w:r>
        <w:rPr>
          <w:rFonts w:ascii="Times New Roman" w:hAnsi="Times New Roman" w:cs="Times New Roman"/>
          <w:sz w:val="24"/>
          <w:szCs w:val="24"/>
          <w:lang w:val="en-US"/>
        </w:rPr>
        <w:t xml:space="preserve"> much stronger political steer of an acceding country to run the negotiations effectively. On the other hand, the new </w:t>
      </w:r>
      <w:r w:rsidR="005133FB">
        <w:rPr>
          <w:rFonts w:ascii="Times New Roman" w:hAnsi="Times New Roman" w:cs="Times New Roman"/>
          <w:sz w:val="24"/>
          <w:szCs w:val="24"/>
          <w:lang w:val="en-US"/>
        </w:rPr>
        <w:t>E</w:t>
      </w:r>
      <w:r>
        <w:rPr>
          <w:rFonts w:ascii="Times New Roman" w:hAnsi="Times New Roman" w:cs="Times New Roman"/>
          <w:sz w:val="24"/>
          <w:szCs w:val="24"/>
          <w:lang w:val="en-US"/>
        </w:rPr>
        <w:t xml:space="preserve">nlargement </w:t>
      </w:r>
      <w:r w:rsidR="005133FB">
        <w:rPr>
          <w:rFonts w:ascii="Times New Roman" w:hAnsi="Times New Roman" w:cs="Times New Roman"/>
          <w:sz w:val="24"/>
          <w:szCs w:val="24"/>
          <w:lang w:val="en-US"/>
        </w:rPr>
        <w:t>M</w:t>
      </w:r>
      <w:r>
        <w:rPr>
          <w:rFonts w:ascii="Times New Roman" w:hAnsi="Times New Roman" w:cs="Times New Roman"/>
          <w:sz w:val="24"/>
          <w:szCs w:val="24"/>
          <w:lang w:val="en-US"/>
        </w:rPr>
        <w:t xml:space="preserve">ethodology has further strengthened </w:t>
      </w:r>
      <w:r w:rsidRPr="004F13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negative </w:t>
      </w:r>
      <w:r w:rsidRPr="004F13C8">
        <w:rPr>
          <w:rFonts w:ascii="Times New Roman" w:hAnsi="Times New Roman" w:cs="Times New Roman"/>
          <w:sz w:val="24"/>
          <w:szCs w:val="24"/>
          <w:lang w:val="en-US"/>
        </w:rPr>
        <w:t>conditionality</w:t>
      </w:r>
      <w:r>
        <w:rPr>
          <w:rFonts w:ascii="Times New Roman" w:hAnsi="Times New Roman" w:cs="Times New Roman"/>
          <w:sz w:val="24"/>
          <w:szCs w:val="24"/>
          <w:lang w:val="en-US"/>
        </w:rPr>
        <w:t xml:space="preserve"> upon the acceding </w:t>
      </w:r>
      <w:r w:rsidRPr="004F13C8">
        <w:rPr>
          <w:rFonts w:ascii="Times New Roman" w:hAnsi="Times New Roman" w:cs="Times New Roman"/>
          <w:sz w:val="24"/>
          <w:szCs w:val="24"/>
          <w:lang w:val="en-US"/>
        </w:rPr>
        <w:t>countries</w:t>
      </w:r>
      <w:r>
        <w:rPr>
          <w:rFonts w:ascii="Times New Roman" w:hAnsi="Times New Roman" w:cs="Times New Roman"/>
          <w:sz w:val="24"/>
          <w:szCs w:val="24"/>
          <w:lang w:val="en-US"/>
        </w:rPr>
        <w:t xml:space="preserve">, and has further intensified the member states’ “hand on” approach to the </w:t>
      </w:r>
      <w:r w:rsidRPr="004F13C8">
        <w:rPr>
          <w:rFonts w:ascii="Times New Roman" w:hAnsi="Times New Roman" w:cs="Times New Roman"/>
          <w:sz w:val="24"/>
          <w:szCs w:val="24"/>
          <w:lang w:val="en-US"/>
        </w:rPr>
        <w:t>accession negotiations.</w:t>
      </w:r>
      <w:r>
        <w:rPr>
          <w:rFonts w:ascii="Times New Roman" w:hAnsi="Times New Roman" w:cs="Times New Roman"/>
          <w:sz w:val="24"/>
          <w:szCs w:val="24"/>
          <w:lang w:val="en-US"/>
        </w:rPr>
        <w:t xml:space="preserve"> As a consequence of all these changes, the </w:t>
      </w:r>
      <w:r w:rsidR="005133FB">
        <w:rPr>
          <w:rFonts w:ascii="Times New Roman" w:hAnsi="Times New Roman" w:cs="Times New Roman"/>
          <w:sz w:val="24"/>
          <w:szCs w:val="24"/>
          <w:lang w:val="en-US"/>
        </w:rPr>
        <w:t xml:space="preserve">EU </w:t>
      </w:r>
      <w:r>
        <w:rPr>
          <w:rFonts w:ascii="Times New Roman" w:hAnsi="Times New Roman" w:cs="Times New Roman"/>
          <w:sz w:val="24"/>
          <w:szCs w:val="24"/>
          <w:lang w:val="en-US"/>
        </w:rPr>
        <w:t>candidate countries starting the EU accession negotiations under this methodology will have to adjust their institutional structures and procedures for the negotiations accordingly. Let me provide some illustration</w:t>
      </w:r>
      <w:r w:rsidR="007B3364">
        <w:rPr>
          <w:rFonts w:ascii="Times New Roman" w:hAnsi="Times New Roman" w:cs="Times New Roman"/>
          <w:sz w:val="24"/>
          <w:szCs w:val="24"/>
          <w:lang w:val="en-US"/>
        </w:rPr>
        <w:t>s</w:t>
      </w:r>
      <w:r w:rsidR="00063409">
        <w:rPr>
          <w:rStyle w:val="FootnoteReference"/>
          <w:rFonts w:ascii="Times New Roman" w:hAnsi="Times New Roman" w:cs="Times New Roman"/>
          <w:sz w:val="24"/>
          <w:szCs w:val="24"/>
          <w:lang w:val="en-US"/>
        </w:rPr>
        <w:footnoteReference w:id="14"/>
      </w:r>
      <w:r>
        <w:rPr>
          <w:rFonts w:ascii="Times New Roman" w:hAnsi="Times New Roman" w:cs="Times New Roman"/>
          <w:sz w:val="24"/>
          <w:szCs w:val="24"/>
          <w:lang w:val="en-US"/>
        </w:rPr>
        <w:t xml:space="preserve">: </w:t>
      </w:r>
    </w:p>
    <w:p w:rsidR="00E902FF" w:rsidRDefault="00E902FF" w:rsidP="00294B0C">
      <w:pPr>
        <w:autoSpaceDE w:val="0"/>
        <w:autoSpaceDN w:val="0"/>
        <w:adjustRightInd w:val="0"/>
        <w:spacing w:after="0" w:line="240" w:lineRule="atLeast"/>
        <w:jc w:val="both"/>
        <w:rPr>
          <w:rFonts w:ascii="Times New Roman" w:hAnsi="Times New Roman" w:cs="Times New Roman"/>
          <w:b/>
          <w:sz w:val="24"/>
          <w:szCs w:val="24"/>
          <w:lang w:val="en-NZ"/>
        </w:rPr>
      </w:pPr>
    </w:p>
    <w:p w:rsidR="00294B0C" w:rsidRPr="00294B0C" w:rsidRDefault="00D30AAA" w:rsidP="006567C5">
      <w:pPr>
        <w:pStyle w:val="ListParagraph"/>
        <w:numPr>
          <w:ilvl w:val="0"/>
          <w:numId w:val="17"/>
        </w:numPr>
        <w:autoSpaceDE w:val="0"/>
        <w:autoSpaceDN w:val="0"/>
        <w:adjustRightInd w:val="0"/>
        <w:spacing w:after="0" w:line="240" w:lineRule="atLeast"/>
        <w:ind w:left="426"/>
        <w:jc w:val="both"/>
        <w:rPr>
          <w:rFonts w:ascii="Times New Roman" w:hAnsi="Times New Roman" w:cs="Times New Roman"/>
          <w:sz w:val="24"/>
          <w:szCs w:val="24"/>
          <w:lang w:val="en-US"/>
        </w:rPr>
      </w:pPr>
      <w:r w:rsidRPr="00294B0C">
        <w:rPr>
          <w:rFonts w:ascii="Times New Roman" w:hAnsi="Times New Roman" w:cs="Times New Roman"/>
          <w:sz w:val="24"/>
          <w:szCs w:val="24"/>
          <w:lang w:val="en-US"/>
        </w:rPr>
        <w:t xml:space="preserve">In contrast to the past, especially during the large Eastern enlargement, the process will be strongly or even decisively political what by itself means that a high commitment at the top political level of an acceding country will be needed to run the negotiations effectively. This commitment should not be just formal with a reflection in the institutional structure for the accession negotiations but should be reflected in actual commitment of top level policy makers for the process. Another aspects supporting the conclusion about increasingly political character of the negotiations is a very broad definition of the fundamentals. The concept does not involve only areas </w:t>
      </w:r>
      <w:r w:rsidRPr="00294B0C">
        <w:rPr>
          <w:rFonts w:ascii="Times New Roman" w:hAnsi="Times New Roman" w:cs="Times New Roman"/>
          <w:sz w:val="24"/>
          <w:szCs w:val="24"/>
          <w:lang w:val="en-PH"/>
        </w:rPr>
        <w:t>of rule of law, but also public administration reform and economic criteria. For all these areas integrated under the fundamentals cluster, the negotiations will start first and will be closed last, and their overall progress will depend decisively on meeting various benchmarks.</w:t>
      </w:r>
      <w:r w:rsidR="00294B0C" w:rsidRPr="00294B0C">
        <w:rPr>
          <w:rFonts w:ascii="Times New Roman" w:hAnsi="Times New Roman" w:cs="Times New Roman"/>
          <w:sz w:val="24"/>
          <w:szCs w:val="24"/>
          <w:lang w:val="en-PH"/>
        </w:rPr>
        <w:t xml:space="preserve"> </w:t>
      </w:r>
    </w:p>
    <w:p w:rsidR="00D30AAA" w:rsidRPr="00294B0C" w:rsidRDefault="00D30AAA" w:rsidP="006567C5">
      <w:pPr>
        <w:pStyle w:val="ListParagraph"/>
        <w:numPr>
          <w:ilvl w:val="0"/>
          <w:numId w:val="17"/>
        </w:numPr>
        <w:autoSpaceDE w:val="0"/>
        <w:autoSpaceDN w:val="0"/>
        <w:adjustRightInd w:val="0"/>
        <w:spacing w:after="0" w:line="240" w:lineRule="atLeast"/>
        <w:ind w:left="426"/>
        <w:jc w:val="both"/>
        <w:rPr>
          <w:rFonts w:ascii="Times New Roman" w:hAnsi="Times New Roman" w:cs="Times New Roman"/>
          <w:sz w:val="24"/>
          <w:szCs w:val="24"/>
          <w:lang w:val="en-US"/>
        </w:rPr>
      </w:pPr>
      <w:r w:rsidRPr="00294B0C">
        <w:rPr>
          <w:rFonts w:ascii="Times New Roman" w:hAnsi="Times New Roman" w:cs="Times New Roman"/>
          <w:sz w:val="24"/>
          <w:szCs w:val="24"/>
          <w:lang w:val="en-US"/>
        </w:rPr>
        <w:t xml:space="preserve">In contrast to the past when negotiations were based on </w:t>
      </w:r>
      <w:r w:rsidR="00294B0C" w:rsidRPr="00294B0C">
        <w:rPr>
          <w:rFonts w:ascii="Times New Roman" w:hAnsi="Times New Roman" w:cs="Times New Roman"/>
          <w:sz w:val="24"/>
          <w:szCs w:val="24"/>
          <w:lang w:val="en-US"/>
        </w:rPr>
        <w:t>the “</w:t>
      </w:r>
      <w:r w:rsidRPr="00294B0C">
        <w:rPr>
          <w:rFonts w:ascii="Times New Roman" w:hAnsi="Times New Roman" w:cs="Times New Roman"/>
          <w:sz w:val="24"/>
          <w:szCs w:val="24"/>
          <w:lang w:val="en-US"/>
        </w:rPr>
        <w:t>chapter-by-chapter</w:t>
      </w:r>
      <w:r w:rsidR="00F570A6">
        <w:rPr>
          <w:rFonts w:ascii="Times New Roman" w:hAnsi="Times New Roman" w:cs="Times New Roman"/>
          <w:sz w:val="24"/>
          <w:szCs w:val="24"/>
          <w:lang w:val="en-US"/>
        </w:rPr>
        <w:t>”</w:t>
      </w:r>
      <w:r w:rsidRPr="00294B0C">
        <w:rPr>
          <w:rFonts w:ascii="Times New Roman" w:hAnsi="Times New Roman" w:cs="Times New Roman"/>
          <w:sz w:val="24"/>
          <w:szCs w:val="24"/>
          <w:lang w:val="en-US"/>
        </w:rPr>
        <w:t xml:space="preserve"> logic, this generation of the negotiations will be run through </w:t>
      </w:r>
      <w:r w:rsidR="00294B0C" w:rsidRPr="00294B0C">
        <w:rPr>
          <w:rFonts w:ascii="Times New Roman" w:hAnsi="Times New Roman" w:cs="Times New Roman"/>
          <w:sz w:val="24"/>
          <w:szCs w:val="24"/>
          <w:lang w:val="en-US"/>
        </w:rPr>
        <w:t>the “</w:t>
      </w:r>
      <w:r w:rsidRPr="00294B0C">
        <w:rPr>
          <w:rFonts w:ascii="Times New Roman" w:hAnsi="Times New Roman" w:cs="Times New Roman"/>
          <w:sz w:val="24"/>
          <w:szCs w:val="24"/>
          <w:lang w:val="en-US"/>
        </w:rPr>
        <w:t>clusters</w:t>
      </w:r>
      <w:r w:rsidR="00F570A6">
        <w:rPr>
          <w:rFonts w:ascii="Times New Roman" w:hAnsi="Times New Roman" w:cs="Times New Roman"/>
          <w:sz w:val="24"/>
          <w:szCs w:val="24"/>
          <w:lang w:val="en-US"/>
        </w:rPr>
        <w:t>”</w:t>
      </w:r>
      <w:r w:rsidR="00294B0C" w:rsidRPr="00294B0C">
        <w:rPr>
          <w:rFonts w:ascii="Times New Roman" w:hAnsi="Times New Roman" w:cs="Times New Roman"/>
          <w:sz w:val="24"/>
          <w:szCs w:val="24"/>
          <w:lang w:val="en-US"/>
        </w:rPr>
        <w:t xml:space="preserve"> logic</w:t>
      </w:r>
      <w:r w:rsidRPr="00294B0C">
        <w:rPr>
          <w:rFonts w:ascii="Times New Roman" w:hAnsi="Times New Roman" w:cs="Times New Roman"/>
          <w:sz w:val="24"/>
          <w:szCs w:val="24"/>
          <w:lang w:val="en-US"/>
        </w:rPr>
        <w:t xml:space="preserve">. Negotiations for a cluster may be opened only when all opening conditions for all </w:t>
      </w:r>
      <w:r w:rsidR="00294B0C" w:rsidRPr="00294B0C">
        <w:rPr>
          <w:rFonts w:ascii="Times New Roman" w:hAnsi="Times New Roman" w:cs="Times New Roman"/>
          <w:sz w:val="24"/>
          <w:szCs w:val="24"/>
          <w:lang w:val="en-US"/>
        </w:rPr>
        <w:t xml:space="preserve">the </w:t>
      </w:r>
      <w:r w:rsidRPr="00294B0C">
        <w:rPr>
          <w:rFonts w:ascii="Times New Roman" w:hAnsi="Times New Roman" w:cs="Times New Roman"/>
          <w:sz w:val="24"/>
          <w:szCs w:val="24"/>
          <w:lang w:val="en-US"/>
        </w:rPr>
        <w:t xml:space="preserve">negotiating chapters under this cluster are met. This by itself will put a pressure on </w:t>
      </w:r>
      <w:r w:rsidR="00294B0C" w:rsidRPr="00294B0C">
        <w:rPr>
          <w:rFonts w:ascii="Times New Roman" w:hAnsi="Times New Roman" w:cs="Times New Roman"/>
          <w:sz w:val="24"/>
          <w:szCs w:val="24"/>
          <w:lang w:val="en-US"/>
        </w:rPr>
        <w:t xml:space="preserve">the EU candidate country </w:t>
      </w:r>
      <w:r w:rsidRPr="00294B0C">
        <w:rPr>
          <w:rFonts w:ascii="Times New Roman" w:hAnsi="Times New Roman" w:cs="Times New Roman"/>
          <w:sz w:val="24"/>
          <w:szCs w:val="24"/>
          <w:lang w:val="en-US"/>
        </w:rPr>
        <w:t xml:space="preserve">to speed up reforms that will need to be adopted </w:t>
      </w:r>
      <w:r w:rsidRPr="00294B0C">
        <w:rPr>
          <w:rFonts w:ascii="Times New Roman" w:hAnsi="Times New Roman" w:cs="Times New Roman"/>
          <w:sz w:val="24"/>
          <w:szCs w:val="24"/>
          <w:lang w:val="en-NZ"/>
        </w:rPr>
        <w:t>before opening of the cluster.</w:t>
      </w:r>
      <w:r w:rsidR="0093010B" w:rsidRPr="00294B0C">
        <w:rPr>
          <w:rFonts w:ascii="Times New Roman" w:hAnsi="Times New Roman" w:cs="Times New Roman"/>
          <w:sz w:val="24"/>
          <w:szCs w:val="24"/>
          <w:lang w:val="en-NZ"/>
        </w:rPr>
        <w:t xml:space="preserve"> </w:t>
      </w:r>
      <w:r w:rsidR="0093010B" w:rsidRPr="00294B0C">
        <w:rPr>
          <w:rFonts w:ascii="Times New Roman" w:hAnsi="Times New Roman" w:cs="Times New Roman"/>
          <w:sz w:val="24"/>
          <w:szCs w:val="24"/>
          <w:lang w:val="en-PH"/>
        </w:rPr>
        <w:t>“Fundamentals cluster” includes all those areas that are of crucial importance for meeting the Copenhagen political and economic criteria. The cluster namely includes 5 negotiating chapters (</w:t>
      </w:r>
      <w:r w:rsidR="006567C5">
        <w:rPr>
          <w:rFonts w:ascii="Times New Roman" w:hAnsi="Times New Roman" w:cs="Times New Roman"/>
          <w:sz w:val="24"/>
          <w:szCs w:val="24"/>
          <w:lang w:val="en-PH"/>
        </w:rPr>
        <w:t>(i)</w:t>
      </w:r>
      <w:r w:rsidR="002F4D73">
        <w:rPr>
          <w:rFonts w:ascii="Times New Roman" w:hAnsi="Times New Roman" w:cs="Times New Roman"/>
          <w:sz w:val="24"/>
          <w:szCs w:val="24"/>
          <w:lang w:val="en-PH"/>
        </w:rPr>
        <w:t xml:space="preserve"> j</w:t>
      </w:r>
      <w:r w:rsidR="0093010B" w:rsidRPr="00294B0C">
        <w:rPr>
          <w:rFonts w:ascii="Times New Roman" w:hAnsi="Times New Roman" w:cs="Times New Roman"/>
          <w:sz w:val="24"/>
          <w:szCs w:val="24"/>
          <w:lang w:val="en-PH"/>
        </w:rPr>
        <w:t>udiciary and fundamental rights</w:t>
      </w:r>
      <w:r w:rsidR="006567C5">
        <w:rPr>
          <w:rFonts w:ascii="Times New Roman" w:hAnsi="Times New Roman" w:cs="Times New Roman"/>
          <w:sz w:val="24"/>
          <w:szCs w:val="24"/>
          <w:lang w:val="en-PH"/>
        </w:rPr>
        <w:t>, (ii) j</w:t>
      </w:r>
      <w:r w:rsidR="0093010B" w:rsidRPr="00294B0C">
        <w:rPr>
          <w:rFonts w:ascii="Times New Roman" w:hAnsi="Times New Roman" w:cs="Times New Roman"/>
          <w:sz w:val="24"/>
          <w:szCs w:val="24"/>
          <w:lang w:val="en-PH"/>
        </w:rPr>
        <w:t xml:space="preserve">ustice, </w:t>
      </w:r>
      <w:r w:rsidR="006567C5">
        <w:rPr>
          <w:rFonts w:ascii="Times New Roman" w:hAnsi="Times New Roman" w:cs="Times New Roman"/>
          <w:sz w:val="24"/>
          <w:szCs w:val="24"/>
          <w:lang w:val="en-PH"/>
        </w:rPr>
        <w:t>f</w:t>
      </w:r>
      <w:r w:rsidR="0093010B" w:rsidRPr="00294B0C">
        <w:rPr>
          <w:rFonts w:ascii="Times New Roman" w:hAnsi="Times New Roman" w:cs="Times New Roman"/>
          <w:sz w:val="24"/>
          <w:szCs w:val="24"/>
          <w:lang w:val="en-PH"/>
        </w:rPr>
        <w:t xml:space="preserve">reedom and </w:t>
      </w:r>
      <w:r w:rsidR="006567C5">
        <w:rPr>
          <w:rFonts w:ascii="Times New Roman" w:hAnsi="Times New Roman" w:cs="Times New Roman"/>
          <w:sz w:val="24"/>
          <w:szCs w:val="24"/>
          <w:lang w:val="en-PH"/>
        </w:rPr>
        <w:t>s</w:t>
      </w:r>
      <w:r w:rsidR="0093010B" w:rsidRPr="00294B0C">
        <w:rPr>
          <w:rFonts w:ascii="Times New Roman" w:hAnsi="Times New Roman" w:cs="Times New Roman"/>
          <w:sz w:val="24"/>
          <w:szCs w:val="24"/>
          <w:lang w:val="en-PH"/>
        </w:rPr>
        <w:t xml:space="preserve">ecurity, </w:t>
      </w:r>
      <w:r w:rsidR="006567C5">
        <w:rPr>
          <w:rFonts w:ascii="Times New Roman" w:hAnsi="Times New Roman" w:cs="Times New Roman"/>
          <w:sz w:val="24"/>
          <w:szCs w:val="24"/>
          <w:lang w:val="en-PH"/>
        </w:rPr>
        <w:t>(iii) p</w:t>
      </w:r>
      <w:r w:rsidR="0093010B" w:rsidRPr="00294B0C">
        <w:rPr>
          <w:rFonts w:ascii="Times New Roman" w:hAnsi="Times New Roman" w:cs="Times New Roman"/>
          <w:sz w:val="24"/>
          <w:szCs w:val="24"/>
          <w:lang w:val="en-PH"/>
        </w:rPr>
        <w:t xml:space="preserve">ublic procurement, </w:t>
      </w:r>
      <w:r w:rsidR="006567C5">
        <w:rPr>
          <w:rFonts w:ascii="Times New Roman" w:hAnsi="Times New Roman" w:cs="Times New Roman"/>
          <w:sz w:val="24"/>
          <w:szCs w:val="24"/>
          <w:lang w:val="en-PH"/>
        </w:rPr>
        <w:t>(iv) s</w:t>
      </w:r>
      <w:r w:rsidR="0093010B" w:rsidRPr="00294B0C">
        <w:rPr>
          <w:rFonts w:ascii="Times New Roman" w:hAnsi="Times New Roman" w:cs="Times New Roman"/>
          <w:sz w:val="24"/>
          <w:szCs w:val="24"/>
          <w:lang w:val="en-PH"/>
        </w:rPr>
        <w:t>tatistics</w:t>
      </w:r>
      <w:r w:rsidR="006567C5">
        <w:rPr>
          <w:rFonts w:ascii="Times New Roman" w:hAnsi="Times New Roman" w:cs="Times New Roman"/>
          <w:sz w:val="24"/>
          <w:szCs w:val="24"/>
          <w:lang w:val="en-PH"/>
        </w:rPr>
        <w:t xml:space="preserve">, (v) </w:t>
      </w:r>
      <w:r w:rsidR="002F4D73">
        <w:rPr>
          <w:rFonts w:ascii="Times New Roman" w:hAnsi="Times New Roman" w:cs="Times New Roman"/>
          <w:sz w:val="24"/>
          <w:szCs w:val="24"/>
          <w:lang w:val="en-PH"/>
        </w:rPr>
        <w:t>f</w:t>
      </w:r>
      <w:r w:rsidR="0093010B" w:rsidRPr="00294B0C">
        <w:rPr>
          <w:rFonts w:ascii="Times New Roman" w:hAnsi="Times New Roman" w:cs="Times New Roman"/>
          <w:sz w:val="24"/>
          <w:szCs w:val="24"/>
          <w:lang w:val="en-PH"/>
        </w:rPr>
        <w:t>inancial control) and 3 horizontal or cross-cutting subjects (</w:t>
      </w:r>
      <w:r w:rsidR="00DB6DEC">
        <w:rPr>
          <w:rFonts w:ascii="Times New Roman" w:hAnsi="Times New Roman" w:cs="Times New Roman"/>
          <w:sz w:val="24"/>
          <w:szCs w:val="24"/>
          <w:lang w:val="en-PH"/>
        </w:rPr>
        <w:t xml:space="preserve">(i) </w:t>
      </w:r>
      <w:r w:rsidR="0093010B" w:rsidRPr="00294B0C">
        <w:rPr>
          <w:rFonts w:ascii="Times New Roman" w:hAnsi="Times New Roman" w:cs="Times New Roman"/>
          <w:sz w:val="24"/>
          <w:szCs w:val="24"/>
          <w:lang w:val="en-PH"/>
        </w:rPr>
        <w:t xml:space="preserve">economic governance, </w:t>
      </w:r>
      <w:r w:rsidR="00DB6DEC">
        <w:rPr>
          <w:rFonts w:ascii="Times New Roman" w:hAnsi="Times New Roman" w:cs="Times New Roman"/>
          <w:sz w:val="24"/>
          <w:szCs w:val="24"/>
          <w:lang w:val="en-PH"/>
        </w:rPr>
        <w:t xml:space="preserve">(ii) </w:t>
      </w:r>
      <w:r w:rsidR="0093010B" w:rsidRPr="00294B0C">
        <w:rPr>
          <w:rFonts w:ascii="Times New Roman" w:hAnsi="Times New Roman" w:cs="Times New Roman"/>
          <w:sz w:val="24"/>
          <w:szCs w:val="24"/>
          <w:lang w:val="en-PH"/>
        </w:rPr>
        <w:t>public administration reforms</w:t>
      </w:r>
      <w:r w:rsidR="00DB6DEC">
        <w:rPr>
          <w:rFonts w:ascii="Times New Roman" w:hAnsi="Times New Roman" w:cs="Times New Roman"/>
          <w:sz w:val="24"/>
          <w:szCs w:val="24"/>
          <w:lang w:val="en-PH"/>
        </w:rPr>
        <w:t xml:space="preserve">, (iii) </w:t>
      </w:r>
      <w:r w:rsidR="0093010B" w:rsidRPr="00294B0C">
        <w:rPr>
          <w:rFonts w:ascii="Times New Roman" w:hAnsi="Times New Roman" w:cs="Times New Roman"/>
          <w:sz w:val="24"/>
          <w:szCs w:val="24"/>
          <w:lang w:val="en-PH"/>
        </w:rPr>
        <w:t>functioning of democratic institutions). This in practice means that the tempo of overall EU accession negotiations will de-facto depend on the progress (or lack of it) of the negotiations on the “fundamentals cluster”.</w:t>
      </w:r>
      <w:r w:rsidRPr="00294B0C">
        <w:rPr>
          <w:rFonts w:ascii="Times New Roman" w:hAnsi="Times New Roman" w:cs="Times New Roman"/>
          <w:sz w:val="24"/>
          <w:szCs w:val="24"/>
          <w:lang w:val="en-NZ"/>
        </w:rPr>
        <w:t xml:space="preserve"> </w:t>
      </w:r>
    </w:p>
    <w:p w:rsidR="00D30AAA" w:rsidRPr="00D30AAA" w:rsidRDefault="00D30AAA" w:rsidP="00294B0C">
      <w:pPr>
        <w:pStyle w:val="ListParagraph"/>
        <w:numPr>
          <w:ilvl w:val="0"/>
          <w:numId w:val="17"/>
        </w:numPr>
        <w:autoSpaceDE w:val="0"/>
        <w:autoSpaceDN w:val="0"/>
        <w:adjustRightInd w:val="0"/>
        <w:spacing w:after="0" w:line="240" w:lineRule="atLeast"/>
        <w:ind w:left="426"/>
        <w:jc w:val="both"/>
        <w:rPr>
          <w:rFonts w:ascii="Times New Roman" w:hAnsi="Times New Roman" w:cs="Times New Roman"/>
          <w:sz w:val="24"/>
          <w:szCs w:val="24"/>
          <w:lang w:val="en-US"/>
        </w:rPr>
      </w:pPr>
      <w:r w:rsidRPr="00D30AAA">
        <w:rPr>
          <w:rFonts w:ascii="Times New Roman" w:hAnsi="Times New Roman" w:cs="Times New Roman"/>
          <w:sz w:val="24"/>
          <w:szCs w:val="24"/>
          <w:lang w:val="en-US"/>
        </w:rPr>
        <w:t xml:space="preserve">In contrast to the past, especially during the large </w:t>
      </w:r>
      <w:r w:rsidR="00294B0C">
        <w:rPr>
          <w:rFonts w:ascii="Times New Roman" w:hAnsi="Times New Roman" w:cs="Times New Roman"/>
          <w:sz w:val="24"/>
          <w:szCs w:val="24"/>
          <w:lang w:val="en-US"/>
        </w:rPr>
        <w:t>E</w:t>
      </w:r>
      <w:r w:rsidRPr="00D30AAA">
        <w:rPr>
          <w:rFonts w:ascii="Times New Roman" w:hAnsi="Times New Roman" w:cs="Times New Roman"/>
          <w:sz w:val="24"/>
          <w:szCs w:val="24"/>
          <w:lang w:val="en-US"/>
        </w:rPr>
        <w:t xml:space="preserve">astern enlargement, the process of the EU accession negotiations will have a much stronger and elaborated negative conditionality which may more easy than ever before result in temporary suspension of the negotiations. Further on, in contrast to the past, when in substance terms a majority of the negotiations of the acceding was </w:t>
      </w:r>
      <w:r w:rsidRPr="007B3364">
        <w:rPr>
          <w:rFonts w:ascii="Times New Roman" w:hAnsi="Times New Roman" w:cs="Times New Roman"/>
          <w:i/>
          <w:sz w:val="24"/>
          <w:szCs w:val="24"/>
          <w:lang w:val="en-US"/>
        </w:rPr>
        <w:t>de-facto</w:t>
      </w:r>
      <w:r w:rsidRPr="00D30AAA">
        <w:rPr>
          <w:rFonts w:ascii="Times New Roman" w:hAnsi="Times New Roman" w:cs="Times New Roman"/>
          <w:sz w:val="24"/>
          <w:szCs w:val="24"/>
          <w:lang w:val="en-US"/>
        </w:rPr>
        <w:t xml:space="preserve"> done with the European Commission (and the member states have in large majority of cases provided their consent), now the member </w:t>
      </w:r>
      <w:r w:rsidRPr="00D30AAA">
        <w:rPr>
          <w:rFonts w:ascii="Times New Roman" w:hAnsi="Times New Roman" w:cs="Times New Roman"/>
          <w:sz w:val="24"/>
          <w:szCs w:val="24"/>
          <w:lang w:val="en-US"/>
        </w:rPr>
        <w:lastRenderedPageBreak/>
        <w:t xml:space="preserve">states have a much more “hand on” attitude in the negotiations. This, of course, makes the negotiations much more exposed to political pressures from one or several member states and consequently significantly less predictable.    </w:t>
      </w:r>
    </w:p>
    <w:p w:rsidR="00D30AAA" w:rsidRDefault="00D30AAA" w:rsidP="00E902FF">
      <w:pPr>
        <w:autoSpaceDE w:val="0"/>
        <w:autoSpaceDN w:val="0"/>
        <w:adjustRightInd w:val="0"/>
        <w:spacing w:after="0" w:line="240" w:lineRule="auto"/>
        <w:jc w:val="both"/>
        <w:rPr>
          <w:rFonts w:ascii="Times New Roman" w:hAnsi="Times New Roman" w:cs="Times New Roman"/>
          <w:b/>
          <w:sz w:val="24"/>
          <w:szCs w:val="24"/>
          <w:lang w:val="en-US"/>
        </w:rPr>
      </w:pPr>
    </w:p>
    <w:p w:rsidR="00DC26DA" w:rsidRDefault="00DC26DA" w:rsidP="00E902FF">
      <w:pPr>
        <w:autoSpaceDE w:val="0"/>
        <w:autoSpaceDN w:val="0"/>
        <w:adjustRightInd w:val="0"/>
        <w:spacing w:after="0" w:line="240" w:lineRule="auto"/>
        <w:jc w:val="both"/>
        <w:rPr>
          <w:rFonts w:ascii="Times New Roman" w:hAnsi="Times New Roman" w:cs="Times New Roman"/>
          <w:b/>
          <w:sz w:val="24"/>
          <w:szCs w:val="24"/>
          <w:lang w:val="en-US"/>
        </w:rPr>
      </w:pPr>
    </w:p>
    <w:p w:rsidR="00DD0E5D" w:rsidRDefault="00940A51" w:rsidP="00940A51">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IV</w:t>
      </w:r>
      <w:r w:rsidRPr="00CB5317">
        <w:rPr>
          <w:rFonts w:ascii="Times New Roman" w:hAnsi="Times New Roman" w:cs="Times New Roman"/>
          <w:b/>
          <w:sz w:val="28"/>
          <w:szCs w:val="28"/>
          <w:lang w:val="en-PH"/>
        </w:rPr>
        <w:t xml:space="preserve">. </w:t>
      </w:r>
      <w:r w:rsidR="00DD0E5D">
        <w:rPr>
          <w:rFonts w:ascii="Times New Roman" w:hAnsi="Times New Roman" w:cs="Times New Roman"/>
          <w:b/>
          <w:sz w:val="28"/>
          <w:szCs w:val="28"/>
          <w:lang w:val="en-PH"/>
        </w:rPr>
        <w:t xml:space="preserve">The Copenhagen economic criteria under the EU’s 2020 </w:t>
      </w:r>
      <w:r w:rsidR="00DC26DA">
        <w:rPr>
          <w:rFonts w:ascii="Times New Roman" w:hAnsi="Times New Roman" w:cs="Times New Roman"/>
          <w:b/>
          <w:sz w:val="28"/>
          <w:szCs w:val="28"/>
          <w:lang w:val="en-PH"/>
        </w:rPr>
        <w:t>Enlargement</w:t>
      </w:r>
    </w:p>
    <w:p w:rsidR="00940A51" w:rsidRDefault="00DD0E5D" w:rsidP="00940A51">
      <w:pPr>
        <w:pStyle w:val="NoSpacing"/>
        <w:rPr>
          <w:rFonts w:ascii="Times New Roman" w:hAnsi="Times New Roman" w:cs="Times New Roman"/>
          <w:b/>
          <w:sz w:val="28"/>
          <w:szCs w:val="28"/>
          <w:lang w:val="en-PH"/>
        </w:rPr>
      </w:pPr>
      <w:r>
        <w:rPr>
          <w:rFonts w:ascii="Times New Roman" w:hAnsi="Times New Roman" w:cs="Times New Roman"/>
          <w:b/>
          <w:sz w:val="28"/>
          <w:szCs w:val="28"/>
          <w:lang w:val="en-PH"/>
        </w:rPr>
        <w:t xml:space="preserve">       M</w:t>
      </w:r>
      <w:r w:rsidR="00DC26DA">
        <w:rPr>
          <w:rFonts w:ascii="Times New Roman" w:hAnsi="Times New Roman" w:cs="Times New Roman"/>
          <w:b/>
          <w:sz w:val="28"/>
          <w:szCs w:val="28"/>
          <w:lang w:val="en-PH"/>
        </w:rPr>
        <w:t>ethodology</w:t>
      </w:r>
      <w:r w:rsidR="005C33DA">
        <w:rPr>
          <w:rFonts w:ascii="Times New Roman" w:hAnsi="Times New Roman" w:cs="Times New Roman"/>
          <w:b/>
          <w:sz w:val="28"/>
          <w:szCs w:val="28"/>
          <w:lang w:val="en-PH"/>
        </w:rPr>
        <w:t xml:space="preserve"> </w:t>
      </w:r>
      <w:r w:rsidR="005022B7">
        <w:rPr>
          <w:rFonts w:ascii="Times New Roman" w:hAnsi="Times New Roman" w:cs="Times New Roman"/>
          <w:b/>
          <w:sz w:val="28"/>
          <w:szCs w:val="28"/>
          <w:lang w:val="en-PH"/>
        </w:rPr>
        <w:t xml:space="preserve">as an input for </w:t>
      </w:r>
      <w:r w:rsidR="008A7279">
        <w:rPr>
          <w:rFonts w:ascii="Times New Roman" w:hAnsi="Times New Roman" w:cs="Times New Roman"/>
          <w:b/>
          <w:sz w:val="28"/>
          <w:szCs w:val="28"/>
          <w:lang w:val="en-PH"/>
        </w:rPr>
        <w:t xml:space="preserve">the </w:t>
      </w:r>
      <w:r w:rsidR="005022B7">
        <w:rPr>
          <w:rFonts w:ascii="Times New Roman" w:hAnsi="Times New Roman" w:cs="Times New Roman"/>
          <w:b/>
          <w:sz w:val="28"/>
          <w:szCs w:val="28"/>
          <w:lang w:val="en-PH"/>
        </w:rPr>
        <w:t>NDS 2021-</w:t>
      </w:r>
      <w:r w:rsidR="008A7279">
        <w:rPr>
          <w:rFonts w:ascii="Times New Roman" w:hAnsi="Times New Roman" w:cs="Times New Roman"/>
          <w:b/>
          <w:sz w:val="28"/>
          <w:szCs w:val="28"/>
          <w:lang w:val="en-PH"/>
        </w:rPr>
        <w:t>20</w:t>
      </w:r>
      <w:r w:rsidR="005022B7">
        <w:rPr>
          <w:rFonts w:ascii="Times New Roman" w:hAnsi="Times New Roman" w:cs="Times New Roman"/>
          <w:b/>
          <w:sz w:val="28"/>
          <w:szCs w:val="28"/>
          <w:lang w:val="en-PH"/>
        </w:rPr>
        <w:t>41</w:t>
      </w:r>
      <w:r w:rsidR="00FC3767">
        <w:rPr>
          <w:rStyle w:val="FootnoteReference"/>
          <w:rFonts w:ascii="Times New Roman" w:hAnsi="Times New Roman" w:cs="Times New Roman"/>
          <w:b/>
          <w:sz w:val="28"/>
          <w:szCs w:val="28"/>
          <w:lang w:val="en-PH"/>
        </w:rPr>
        <w:footnoteReference w:id="15"/>
      </w:r>
      <w:r w:rsidR="00876911">
        <w:rPr>
          <w:rFonts w:ascii="Times New Roman" w:hAnsi="Times New Roman" w:cs="Times New Roman"/>
          <w:b/>
          <w:sz w:val="28"/>
          <w:szCs w:val="28"/>
          <w:lang w:val="en-PH"/>
        </w:rPr>
        <w:t xml:space="preserve"> </w:t>
      </w:r>
    </w:p>
    <w:p w:rsidR="00940A51" w:rsidRDefault="00940A51" w:rsidP="00940A51">
      <w:pPr>
        <w:pStyle w:val="NoSpacing"/>
        <w:rPr>
          <w:rFonts w:ascii="Times New Roman" w:hAnsi="Times New Roman" w:cs="Times New Roman"/>
          <w:sz w:val="24"/>
          <w:szCs w:val="24"/>
          <w:lang w:val="en-PH"/>
        </w:rPr>
      </w:pPr>
    </w:p>
    <w:p w:rsidR="00A91C45" w:rsidRDefault="00A81D9B" w:rsidP="00A81D9B">
      <w:pPr>
        <w:pStyle w:val="NoSpacing"/>
        <w:jc w:val="both"/>
        <w:rPr>
          <w:rFonts w:ascii="Times New Roman" w:hAnsi="Times New Roman" w:cs="Times New Roman"/>
          <w:i/>
          <w:color w:val="2A2A2A"/>
          <w:sz w:val="24"/>
          <w:szCs w:val="24"/>
          <w:shd w:val="clear" w:color="auto" w:fill="FFFFFF"/>
          <w:lang w:val="en-US"/>
        </w:rPr>
      </w:pPr>
      <w:r>
        <w:rPr>
          <w:rFonts w:ascii="Times New Roman" w:hAnsi="Times New Roman" w:cs="Times New Roman"/>
          <w:sz w:val="24"/>
          <w:szCs w:val="24"/>
          <w:lang w:val="en-PH"/>
        </w:rPr>
        <w:t xml:space="preserve">Similar as national development strategies designed by numerous countries </w:t>
      </w:r>
      <w:r w:rsidR="00BC7AC4">
        <w:rPr>
          <w:rFonts w:ascii="Times New Roman" w:hAnsi="Times New Roman" w:cs="Times New Roman"/>
          <w:sz w:val="24"/>
          <w:szCs w:val="24"/>
          <w:lang w:val="en-PH"/>
        </w:rPr>
        <w:t xml:space="preserve">over the </w:t>
      </w:r>
      <w:r>
        <w:rPr>
          <w:rFonts w:ascii="Times New Roman" w:hAnsi="Times New Roman" w:cs="Times New Roman"/>
          <w:sz w:val="24"/>
          <w:szCs w:val="24"/>
          <w:lang w:val="en-PH"/>
        </w:rPr>
        <w:t>last two decades</w:t>
      </w:r>
      <w:r w:rsidR="00A8273A">
        <w:rPr>
          <w:rStyle w:val="FootnoteReference"/>
          <w:rFonts w:ascii="Times New Roman" w:hAnsi="Times New Roman" w:cs="Times New Roman"/>
          <w:sz w:val="24"/>
          <w:szCs w:val="24"/>
          <w:lang w:val="en-PH"/>
        </w:rPr>
        <w:footnoteReference w:id="16"/>
      </w:r>
      <w:r w:rsidR="00BC7AC4">
        <w:rPr>
          <w:rFonts w:ascii="Times New Roman" w:hAnsi="Times New Roman" w:cs="Times New Roman"/>
          <w:sz w:val="24"/>
          <w:szCs w:val="24"/>
          <w:lang w:val="en-PH"/>
        </w:rPr>
        <w:t xml:space="preserve"> and also similar </w:t>
      </w:r>
      <w:r w:rsidR="002931BE">
        <w:rPr>
          <w:rFonts w:ascii="Times New Roman" w:hAnsi="Times New Roman" w:cs="Times New Roman"/>
          <w:sz w:val="24"/>
          <w:szCs w:val="24"/>
          <w:lang w:val="en-PH"/>
        </w:rPr>
        <w:t xml:space="preserve">as </w:t>
      </w:r>
      <w:r w:rsidR="00A8273A">
        <w:rPr>
          <w:rFonts w:ascii="Times New Roman" w:hAnsi="Times New Roman" w:cs="Times New Roman"/>
          <w:sz w:val="24"/>
          <w:szCs w:val="24"/>
          <w:lang w:val="en-PH"/>
        </w:rPr>
        <w:t xml:space="preserve">both </w:t>
      </w:r>
      <w:r w:rsidR="00BC7AC4">
        <w:rPr>
          <w:rFonts w:ascii="Times New Roman" w:hAnsi="Times New Roman" w:cs="Times New Roman"/>
          <w:sz w:val="24"/>
          <w:szCs w:val="24"/>
          <w:lang w:val="en-PH"/>
        </w:rPr>
        <w:t xml:space="preserve">development strategies of the EU </w:t>
      </w:r>
      <w:r w:rsidR="00A8273A">
        <w:rPr>
          <w:rFonts w:ascii="Times New Roman" w:hAnsi="Times New Roman" w:cs="Times New Roman"/>
          <w:sz w:val="24"/>
          <w:szCs w:val="24"/>
          <w:lang w:val="en-PH"/>
        </w:rPr>
        <w:t xml:space="preserve">in this century </w:t>
      </w:r>
      <w:r w:rsidR="00BC7AC4">
        <w:rPr>
          <w:rFonts w:ascii="Times New Roman" w:hAnsi="Times New Roman" w:cs="Times New Roman"/>
          <w:sz w:val="24"/>
          <w:szCs w:val="24"/>
          <w:lang w:val="en-PH"/>
        </w:rPr>
        <w:t xml:space="preserve">– the Lisbon Strategy and the Europe 2020 Strategy – the </w:t>
      </w:r>
      <w:r>
        <w:rPr>
          <w:rFonts w:ascii="Times New Roman" w:hAnsi="Times New Roman" w:cs="Times New Roman"/>
          <w:sz w:val="24"/>
          <w:szCs w:val="24"/>
          <w:lang w:val="en-PH"/>
        </w:rPr>
        <w:t xml:space="preserve">substance of the Copenhagen economic criteria is </w:t>
      </w:r>
      <w:r w:rsidR="00A8273A">
        <w:rPr>
          <w:rFonts w:ascii="Times New Roman" w:hAnsi="Times New Roman" w:cs="Times New Roman"/>
          <w:sz w:val="24"/>
          <w:szCs w:val="24"/>
          <w:lang w:val="en-PH"/>
        </w:rPr>
        <w:t xml:space="preserve">anchored in the </w:t>
      </w:r>
      <w:r>
        <w:rPr>
          <w:rFonts w:ascii="Times New Roman" w:hAnsi="Times New Roman" w:cs="Times New Roman"/>
          <w:sz w:val="24"/>
          <w:szCs w:val="24"/>
          <w:lang w:val="en-PH"/>
        </w:rPr>
        <w:t>economic, social and environmental</w:t>
      </w:r>
      <w:r w:rsidR="00A8273A">
        <w:rPr>
          <w:rFonts w:ascii="Times New Roman" w:hAnsi="Times New Roman" w:cs="Times New Roman"/>
          <w:sz w:val="24"/>
          <w:szCs w:val="24"/>
          <w:lang w:val="en-PH"/>
        </w:rPr>
        <w:t xml:space="preserve"> pillars of a sustainable development.</w:t>
      </w:r>
      <w:r w:rsidR="008A7279">
        <w:rPr>
          <w:rFonts w:ascii="Times New Roman" w:hAnsi="Times New Roman" w:cs="Times New Roman"/>
          <w:sz w:val="24"/>
          <w:szCs w:val="24"/>
          <w:lang w:val="en-PH"/>
        </w:rPr>
        <w:t xml:space="preserve"> </w:t>
      </w:r>
      <w:r w:rsidR="002931BE">
        <w:rPr>
          <w:rFonts w:ascii="Times New Roman" w:hAnsi="Times New Roman" w:cs="Times New Roman"/>
          <w:sz w:val="24"/>
          <w:szCs w:val="24"/>
          <w:lang w:val="en-PH"/>
        </w:rPr>
        <w:t>In fact, a p</w:t>
      </w:r>
      <w:r w:rsidR="008A7279">
        <w:rPr>
          <w:rFonts w:ascii="Times New Roman" w:hAnsi="Times New Roman" w:cs="Times New Roman"/>
          <w:sz w:val="24"/>
          <w:szCs w:val="24"/>
          <w:lang w:val="en-PH"/>
        </w:rPr>
        <w:t xml:space="preserve">rogress of an EU candidate country on its path towards meeting the Copenhagen economic criteria reflects the country’s efforts to implement its </w:t>
      </w:r>
      <w:r w:rsidR="002931BE">
        <w:rPr>
          <w:rFonts w:ascii="Times New Roman" w:hAnsi="Times New Roman" w:cs="Times New Roman"/>
          <w:sz w:val="24"/>
          <w:szCs w:val="24"/>
          <w:lang w:val="en-PH"/>
        </w:rPr>
        <w:t>socio-</w:t>
      </w:r>
      <w:r w:rsidR="008A7279">
        <w:rPr>
          <w:rFonts w:ascii="Times New Roman" w:hAnsi="Times New Roman" w:cs="Times New Roman"/>
          <w:sz w:val="24"/>
          <w:szCs w:val="24"/>
          <w:lang w:val="en-PH"/>
        </w:rPr>
        <w:t xml:space="preserve">economic development in a sustainable manner and </w:t>
      </w:r>
      <w:r w:rsidR="00E55AC4">
        <w:rPr>
          <w:rFonts w:ascii="Times New Roman" w:hAnsi="Times New Roman" w:cs="Times New Roman"/>
          <w:sz w:val="24"/>
          <w:szCs w:val="24"/>
          <w:lang w:val="en-PH"/>
        </w:rPr>
        <w:t xml:space="preserve">in </w:t>
      </w:r>
      <w:r w:rsidR="008A7279">
        <w:rPr>
          <w:rFonts w:ascii="Times New Roman" w:hAnsi="Times New Roman" w:cs="Times New Roman"/>
          <w:sz w:val="24"/>
          <w:szCs w:val="24"/>
          <w:lang w:val="en-PH"/>
        </w:rPr>
        <w:t>accordance the new EU sustainable development strategy based on climate</w:t>
      </w:r>
      <w:r w:rsidR="00807AFE">
        <w:rPr>
          <w:rFonts w:ascii="Times New Roman" w:hAnsi="Times New Roman" w:cs="Times New Roman"/>
          <w:sz w:val="24"/>
          <w:szCs w:val="24"/>
          <w:lang w:val="en-PH"/>
        </w:rPr>
        <w:t xml:space="preserve"> </w:t>
      </w:r>
      <w:r w:rsidR="008A7279">
        <w:rPr>
          <w:rFonts w:ascii="Times New Roman" w:hAnsi="Times New Roman" w:cs="Times New Roman"/>
          <w:sz w:val="24"/>
          <w:szCs w:val="24"/>
          <w:lang w:val="en-PH"/>
        </w:rPr>
        <w:t>neutrality and digital modernization</w:t>
      </w:r>
      <w:r w:rsidR="008B1912">
        <w:rPr>
          <w:rFonts w:ascii="Times New Roman" w:hAnsi="Times New Roman" w:cs="Times New Roman"/>
          <w:sz w:val="24"/>
          <w:szCs w:val="24"/>
          <w:lang w:val="en-PH"/>
        </w:rPr>
        <w:t xml:space="preserve"> and in line with the </w:t>
      </w:r>
      <w:r w:rsidR="00A91C45">
        <w:rPr>
          <w:rFonts w:ascii="Times New Roman" w:hAnsi="Times New Roman" w:cs="Times New Roman"/>
          <w:sz w:val="24"/>
          <w:szCs w:val="24"/>
          <w:lang w:val="en-PH"/>
        </w:rPr>
        <w:t xml:space="preserve">global </w:t>
      </w:r>
      <w:r w:rsidR="00A91C45" w:rsidRPr="00A91C45">
        <w:rPr>
          <w:rFonts w:ascii="Times New Roman" w:hAnsi="Times New Roman" w:cs="Times New Roman"/>
          <w:i/>
          <w:sz w:val="24"/>
          <w:szCs w:val="24"/>
          <w:lang w:val="en-PH"/>
        </w:rPr>
        <w:t xml:space="preserve">Agenda </w:t>
      </w:r>
      <w:r w:rsidR="008B1912" w:rsidRPr="00A91C45">
        <w:rPr>
          <w:rFonts w:ascii="Times New Roman" w:hAnsi="Times New Roman" w:cs="Times New Roman"/>
          <w:i/>
          <w:color w:val="2A2A2A"/>
          <w:sz w:val="24"/>
          <w:szCs w:val="24"/>
          <w:shd w:val="clear" w:color="auto" w:fill="FFFFFF"/>
          <w:lang w:val="en-US"/>
        </w:rPr>
        <w:t>2030</w:t>
      </w:r>
      <w:r w:rsidR="00A91C45">
        <w:rPr>
          <w:rFonts w:ascii="Times New Roman" w:hAnsi="Times New Roman" w:cs="Times New Roman"/>
          <w:i/>
          <w:color w:val="2A2A2A"/>
          <w:sz w:val="24"/>
          <w:szCs w:val="24"/>
          <w:shd w:val="clear" w:color="auto" w:fill="FFFFFF"/>
          <w:lang w:val="en-US"/>
        </w:rPr>
        <w:t xml:space="preserve">. </w:t>
      </w:r>
    </w:p>
    <w:p w:rsidR="008A7279" w:rsidRDefault="00696CCA" w:rsidP="00A81D9B">
      <w:pPr>
        <w:pStyle w:val="NoSpacing"/>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 </w:t>
      </w:r>
    </w:p>
    <w:p w:rsidR="00BC7AC4" w:rsidRDefault="00E55AC4" w:rsidP="00A81D9B">
      <w:pPr>
        <w:pStyle w:val="NoSpacing"/>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The substance and the process of meeting the Copenhagen economic criteria are therefore in conceptual terms consistent with the sustainable development goals orientation of the NDS 2021-2041. This means that a </w:t>
      </w:r>
      <w:r w:rsidR="007E51B1">
        <w:rPr>
          <w:rFonts w:ascii="Times New Roman" w:hAnsi="Times New Roman" w:cs="Times New Roman"/>
          <w:sz w:val="24"/>
          <w:szCs w:val="24"/>
          <w:lang w:val="en-PH"/>
        </w:rPr>
        <w:t xml:space="preserve">bit more elaborated </w:t>
      </w:r>
      <w:r>
        <w:rPr>
          <w:rFonts w:ascii="Times New Roman" w:hAnsi="Times New Roman" w:cs="Times New Roman"/>
          <w:sz w:val="24"/>
          <w:szCs w:val="24"/>
          <w:lang w:val="en-PH"/>
        </w:rPr>
        <w:t xml:space="preserve">presentation of </w:t>
      </w:r>
      <w:r w:rsidR="00BC7AC4" w:rsidRPr="00C66156">
        <w:rPr>
          <w:rFonts w:ascii="Times New Roman" w:hAnsi="Times New Roman" w:cs="Times New Roman"/>
          <w:sz w:val="24"/>
          <w:szCs w:val="24"/>
          <w:u w:val="single"/>
          <w:lang w:val="en-PH"/>
        </w:rPr>
        <w:t>what</w:t>
      </w:r>
      <w:r w:rsidR="00BC7AC4">
        <w:rPr>
          <w:rFonts w:ascii="Times New Roman" w:hAnsi="Times New Roman" w:cs="Times New Roman"/>
          <w:sz w:val="24"/>
          <w:szCs w:val="24"/>
          <w:lang w:val="en-PH"/>
        </w:rPr>
        <w:t xml:space="preserve"> is </w:t>
      </w:r>
      <w:r>
        <w:rPr>
          <w:rFonts w:ascii="Times New Roman" w:hAnsi="Times New Roman" w:cs="Times New Roman"/>
          <w:sz w:val="24"/>
          <w:szCs w:val="24"/>
          <w:lang w:val="en-PH"/>
        </w:rPr>
        <w:t>the s</w:t>
      </w:r>
      <w:r w:rsidR="00BC7AC4">
        <w:rPr>
          <w:rFonts w:ascii="Times New Roman" w:hAnsi="Times New Roman" w:cs="Times New Roman"/>
          <w:sz w:val="24"/>
          <w:szCs w:val="24"/>
          <w:lang w:val="en-PH"/>
        </w:rPr>
        <w:t xml:space="preserve">ubstance of the </w:t>
      </w:r>
      <w:r w:rsidR="002931BE">
        <w:rPr>
          <w:rFonts w:ascii="Times New Roman" w:hAnsi="Times New Roman" w:cs="Times New Roman"/>
          <w:sz w:val="24"/>
          <w:szCs w:val="24"/>
          <w:lang w:val="en-PH"/>
        </w:rPr>
        <w:t xml:space="preserve">Copenhagen </w:t>
      </w:r>
      <w:r w:rsidR="00BC7AC4">
        <w:rPr>
          <w:rFonts w:ascii="Times New Roman" w:hAnsi="Times New Roman" w:cs="Times New Roman"/>
          <w:sz w:val="24"/>
          <w:szCs w:val="24"/>
          <w:lang w:val="en-PH"/>
        </w:rPr>
        <w:t xml:space="preserve">economic criteria that an EU candidate county is asked to meet, and </w:t>
      </w:r>
      <w:r w:rsidR="00BC7AC4" w:rsidRPr="00C66156">
        <w:rPr>
          <w:rFonts w:ascii="Times New Roman" w:hAnsi="Times New Roman" w:cs="Times New Roman"/>
          <w:sz w:val="24"/>
          <w:szCs w:val="24"/>
          <w:u w:val="single"/>
          <w:lang w:val="en-PH"/>
        </w:rPr>
        <w:t>how</w:t>
      </w:r>
      <w:r w:rsidR="00BC7AC4">
        <w:rPr>
          <w:rFonts w:ascii="Times New Roman" w:hAnsi="Times New Roman" w:cs="Times New Roman"/>
          <w:sz w:val="24"/>
          <w:szCs w:val="24"/>
          <w:lang w:val="en-PH"/>
        </w:rPr>
        <w:t xml:space="preserve"> th</w:t>
      </w:r>
      <w:r w:rsidR="00B24831">
        <w:rPr>
          <w:rFonts w:ascii="Times New Roman" w:hAnsi="Times New Roman" w:cs="Times New Roman"/>
          <w:sz w:val="24"/>
          <w:szCs w:val="24"/>
          <w:lang w:val="en-PH"/>
        </w:rPr>
        <w:t xml:space="preserve">e </w:t>
      </w:r>
      <w:r w:rsidR="00BC7AC4">
        <w:rPr>
          <w:rFonts w:ascii="Times New Roman" w:hAnsi="Times New Roman" w:cs="Times New Roman"/>
          <w:sz w:val="24"/>
          <w:szCs w:val="24"/>
          <w:lang w:val="en-PH"/>
        </w:rPr>
        <w:t xml:space="preserve">criteria is to be achieved </w:t>
      </w:r>
      <w:r w:rsidR="00B24831">
        <w:rPr>
          <w:rFonts w:ascii="Times New Roman" w:hAnsi="Times New Roman" w:cs="Times New Roman"/>
          <w:sz w:val="24"/>
          <w:szCs w:val="24"/>
          <w:lang w:val="en-PH"/>
        </w:rPr>
        <w:t>with</w:t>
      </w:r>
      <w:r w:rsidR="00BC7AC4">
        <w:rPr>
          <w:rFonts w:ascii="Times New Roman" w:hAnsi="Times New Roman" w:cs="Times New Roman"/>
          <w:sz w:val="24"/>
          <w:szCs w:val="24"/>
          <w:lang w:val="en-PH"/>
        </w:rPr>
        <w:t xml:space="preserve">in the environment of </w:t>
      </w:r>
      <w:r w:rsidR="00B24831">
        <w:rPr>
          <w:rFonts w:ascii="Times New Roman" w:hAnsi="Times New Roman" w:cs="Times New Roman"/>
          <w:sz w:val="24"/>
          <w:szCs w:val="24"/>
          <w:lang w:val="en-PH"/>
        </w:rPr>
        <w:t xml:space="preserve">the </w:t>
      </w:r>
      <w:r w:rsidR="00BC7AC4">
        <w:rPr>
          <w:rFonts w:ascii="Times New Roman" w:hAnsi="Times New Roman" w:cs="Times New Roman"/>
          <w:sz w:val="24"/>
          <w:szCs w:val="24"/>
          <w:lang w:val="en-PH"/>
        </w:rPr>
        <w:t>new Enlargement Methodology</w:t>
      </w:r>
      <w:r>
        <w:rPr>
          <w:rFonts w:ascii="Times New Roman" w:hAnsi="Times New Roman" w:cs="Times New Roman"/>
          <w:sz w:val="24"/>
          <w:szCs w:val="24"/>
          <w:lang w:val="en-PH"/>
        </w:rPr>
        <w:t xml:space="preserve"> </w:t>
      </w:r>
      <w:r w:rsidR="00B24831">
        <w:rPr>
          <w:rFonts w:ascii="Times New Roman" w:hAnsi="Times New Roman" w:cs="Times New Roman"/>
          <w:sz w:val="24"/>
          <w:szCs w:val="24"/>
          <w:lang w:val="en-PH"/>
        </w:rPr>
        <w:t xml:space="preserve">may </w:t>
      </w:r>
      <w:r>
        <w:rPr>
          <w:rFonts w:ascii="Times New Roman" w:hAnsi="Times New Roman" w:cs="Times New Roman"/>
          <w:sz w:val="24"/>
          <w:szCs w:val="24"/>
          <w:lang w:val="en-PH"/>
        </w:rPr>
        <w:t xml:space="preserve">provide a useful </w:t>
      </w:r>
      <w:r w:rsidR="00A8273A">
        <w:rPr>
          <w:rFonts w:ascii="Times New Roman" w:hAnsi="Times New Roman" w:cs="Times New Roman"/>
          <w:sz w:val="24"/>
          <w:szCs w:val="24"/>
          <w:lang w:val="en-PH"/>
        </w:rPr>
        <w:t xml:space="preserve">input in the conceptualization of the NDS 2021-2041 currently underway. </w:t>
      </w:r>
    </w:p>
    <w:p w:rsidR="00DC26DA" w:rsidRDefault="00DC26DA" w:rsidP="00940A51">
      <w:pPr>
        <w:pStyle w:val="NoSpacing"/>
        <w:rPr>
          <w:rFonts w:ascii="Times New Roman" w:hAnsi="Times New Roman" w:cs="Times New Roman"/>
          <w:sz w:val="24"/>
          <w:szCs w:val="24"/>
          <w:lang w:val="en-PH"/>
        </w:rPr>
      </w:pPr>
    </w:p>
    <w:p w:rsidR="00C66156" w:rsidRPr="00A8273A" w:rsidRDefault="00A8273A" w:rsidP="00940A51">
      <w:pPr>
        <w:pStyle w:val="NoSpacing"/>
        <w:rPr>
          <w:rFonts w:ascii="Times New Roman" w:hAnsi="Times New Roman" w:cs="Times New Roman"/>
          <w:b/>
          <w:sz w:val="24"/>
          <w:szCs w:val="24"/>
          <w:lang w:val="en-PH"/>
        </w:rPr>
      </w:pPr>
      <w:r w:rsidRPr="00A8273A">
        <w:rPr>
          <w:rFonts w:ascii="Times New Roman" w:hAnsi="Times New Roman" w:cs="Times New Roman"/>
          <w:b/>
          <w:sz w:val="24"/>
          <w:szCs w:val="24"/>
          <w:lang w:val="en-PH"/>
        </w:rPr>
        <w:t xml:space="preserve">4.1. </w:t>
      </w:r>
      <w:r w:rsidR="00876911" w:rsidRPr="000E29E7">
        <w:rPr>
          <w:rFonts w:ascii="Times New Roman" w:hAnsi="Times New Roman" w:cs="Times New Roman"/>
          <w:b/>
          <w:sz w:val="24"/>
          <w:szCs w:val="24"/>
          <w:u w:val="single"/>
          <w:lang w:val="en-PH"/>
        </w:rPr>
        <w:t>What</w:t>
      </w:r>
      <w:r w:rsidR="00876911">
        <w:rPr>
          <w:rFonts w:ascii="Times New Roman" w:hAnsi="Times New Roman" w:cs="Times New Roman"/>
          <w:b/>
          <w:sz w:val="24"/>
          <w:szCs w:val="24"/>
          <w:lang w:val="en-PH"/>
        </w:rPr>
        <w:t xml:space="preserve"> is the substance of the </w:t>
      </w:r>
      <w:r w:rsidR="002931BE">
        <w:rPr>
          <w:rFonts w:ascii="Times New Roman" w:hAnsi="Times New Roman" w:cs="Times New Roman"/>
          <w:b/>
          <w:sz w:val="24"/>
          <w:szCs w:val="24"/>
          <w:lang w:val="en-PH"/>
        </w:rPr>
        <w:t xml:space="preserve">Copenhagen </w:t>
      </w:r>
      <w:r w:rsidR="00876911">
        <w:rPr>
          <w:rFonts w:ascii="Times New Roman" w:hAnsi="Times New Roman" w:cs="Times New Roman"/>
          <w:b/>
          <w:sz w:val="24"/>
          <w:szCs w:val="24"/>
          <w:lang w:val="en-PH"/>
        </w:rPr>
        <w:t>economic criteria</w:t>
      </w:r>
      <w:r w:rsidR="00CC3B67">
        <w:rPr>
          <w:rFonts w:ascii="Times New Roman" w:hAnsi="Times New Roman" w:cs="Times New Roman"/>
          <w:b/>
          <w:sz w:val="24"/>
          <w:szCs w:val="24"/>
          <w:lang w:val="en-PH"/>
        </w:rPr>
        <w:t xml:space="preserve"> for accession to the EU</w:t>
      </w:r>
      <w:r w:rsidR="00876911">
        <w:rPr>
          <w:rFonts w:ascii="Times New Roman" w:hAnsi="Times New Roman" w:cs="Times New Roman"/>
          <w:b/>
          <w:sz w:val="24"/>
          <w:szCs w:val="24"/>
          <w:lang w:val="en-PH"/>
        </w:rPr>
        <w:t>?</w:t>
      </w:r>
    </w:p>
    <w:p w:rsidR="009F5D93" w:rsidRDefault="009F5D93" w:rsidP="00940A51">
      <w:pPr>
        <w:pStyle w:val="NoSpacing"/>
        <w:rPr>
          <w:rFonts w:ascii="Times New Roman" w:hAnsi="Times New Roman" w:cs="Times New Roman"/>
          <w:sz w:val="24"/>
          <w:szCs w:val="24"/>
          <w:lang w:val="en-PH"/>
        </w:rPr>
      </w:pPr>
    </w:p>
    <w:p w:rsidR="007E51B1" w:rsidRDefault="007E4E54" w:rsidP="007E4E54">
      <w:pPr>
        <w:spacing w:line="240" w:lineRule="atLeast"/>
        <w:jc w:val="both"/>
        <w:rPr>
          <w:rFonts w:ascii="Times New Roman" w:eastAsia="Times New Roman" w:hAnsi="Times New Roman" w:cs="Times New Roman"/>
          <w:color w:val="444444"/>
          <w:sz w:val="24"/>
          <w:szCs w:val="24"/>
          <w:lang w:val="en-MY" w:eastAsia="sl-SI"/>
        </w:rPr>
      </w:pPr>
      <w:r w:rsidRPr="007E4E54">
        <w:rPr>
          <w:rFonts w:ascii="Times New Roman" w:hAnsi="Times New Roman" w:cs="Times New Roman"/>
          <w:bCs/>
          <w:sz w:val="24"/>
          <w:szCs w:val="24"/>
          <w:lang w:val="en-MY"/>
        </w:rPr>
        <w:t xml:space="preserve">The Copenhagen economic criteria stipulate that for admission to the EU, a candidate country must be </w:t>
      </w:r>
      <w:r w:rsidRPr="00743563">
        <w:rPr>
          <w:rFonts w:ascii="Times New Roman" w:eastAsia="Times New Roman" w:hAnsi="Times New Roman" w:cs="Times New Roman"/>
          <w:i/>
          <w:color w:val="444444"/>
          <w:sz w:val="24"/>
          <w:szCs w:val="24"/>
          <w:lang w:val="en-MY" w:eastAsia="sl-SI"/>
        </w:rPr>
        <w:t>a functioning market economy that is able ability to cope with competitive pressure and market forces within the EU</w:t>
      </w:r>
      <w:r w:rsidR="00743563">
        <w:rPr>
          <w:rStyle w:val="FootnoteReference"/>
          <w:rFonts w:ascii="Times New Roman" w:eastAsia="Times New Roman" w:hAnsi="Times New Roman" w:cs="Times New Roman"/>
          <w:color w:val="444444"/>
          <w:sz w:val="24"/>
          <w:szCs w:val="24"/>
          <w:lang w:val="en-MY" w:eastAsia="sl-SI"/>
        </w:rPr>
        <w:footnoteReference w:id="17"/>
      </w:r>
      <w:r w:rsidR="00743563">
        <w:rPr>
          <w:rFonts w:ascii="Times New Roman" w:eastAsia="Times New Roman" w:hAnsi="Times New Roman" w:cs="Times New Roman"/>
          <w:i/>
          <w:color w:val="444444"/>
          <w:sz w:val="24"/>
          <w:szCs w:val="24"/>
          <w:lang w:val="en-MY" w:eastAsia="sl-SI"/>
        </w:rPr>
        <w:t xml:space="preserve">. </w:t>
      </w:r>
      <w:r w:rsidRPr="007E4E54">
        <w:rPr>
          <w:rFonts w:ascii="Times New Roman" w:eastAsia="Times New Roman" w:hAnsi="Times New Roman" w:cs="Times New Roman"/>
          <w:color w:val="444444"/>
          <w:sz w:val="24"/>
          <w:szCs w:val="24"/>
          <w:lang w:val="en-MY" w:eastAsia="sl-SI"/>
        </w:rPr>
        <w:t>Meeting economic criteria is also a precondition for the EU candidate country to be effectively included into the economic governance of the EU one</w:t>
      </w:r>
      <w:r w:rsidR="007E51B1">
        <w:rPr>
          <w:rFonts w:ascii="Times New Roman" w:eastAsia="Times New Roman" w:hAnsi="Times New Roman" w:cs="Times New Roman"/>
          <w:color w:val="444444"/>
          <w:sz w:val="24"/>
          <w:szCs w:val="24"/>
          <w:lang w:val="en-MY" w:eastAsia="sl-SI"/>
        </w:rPr>
        <w:t>s</w:t>
      </w:r>
      <w:r w:rsidRPr="007E4E54">
        <w:rPr>
          <w:rFonts w:ascii="Times New Roman" w:eastAsia="Times New Roman" w:hAnsi="Times New Roman" w:cs="Times New Roman"/>
          <w:color w:val="444444"/>
          <w:sz w:val="24"/>
          <w:szCs w:val="24"/>
          <w:lang w:val="en-MY" w:eastAsia="sl-SI"/>
        </w:rPr>
        <w:t xml:space="preserve"> it becomes its member. </w:t>
      </w:r>
    </w:p>
    <w:p w:rsidR="007E4E54" w:rsidRDefault="007E51B1" w:rsidP="007E4E54">
      <w:pPr>
        <w:spacing w:line="240" w:lineRule="atLeast"/>
        <w:jc w:val="both"/>
        <w:rPr>
          <w:rFonts w:ascii="Times New Roman" w:eastAsia="Times New Roman" w:hAnsi="Times New Roman" w:cs="Times New Roman"/>
          <w:color w:val="444444"/>
          <w:sz w:val="24"/>
          <w:szCs w:val="24"/>
          <w:lang w:val="en-MY" w:eastAsia="sl-SI"/>
        </w:rPr>
      </w:pPr>
      <w:r>
        <w:rPr>
          <w:rFonts w:ascii="Times New Roman" w:eastAsia="Times New Roman" w:hAnsi="Times New Roman" w:cs="Times New Roman"/>
          <w:color w:val="444444"/>
          <w:sz w:val="24"/>
          <w:szCs w:val="24"/>
          <w:lang w:val="en-MY" w:eastAsia="sl-SI"/>
        </w:rPr>
        <w:t xml:space="preserve">There is no generally accepted definition of neither economic governance nor economic criteria. For </w:t>
      </w:r>
      <w:r w:rsidR="007E4E54" w:rsidRPr="007E4E54">
        <w:rPr>
          <w:rFonts w:ascii="Times New Roman" w:hAnsi="Times New Roman" w:cs="Times New Roman"/>
          <w:sz w:val="24"/>
          <w:szCs w:val="24"/>
          <w:lang w:val="en-MY"/>
        </w:rPr>
        <w:t xml:space="preserve">the purpose of the EU accession process, however, </w:t>
      </w:r>
      <w:r>
        <w:rPr>
          <w:rFonts w:ascii="Times New Roman" w:hAnsi="Times New Roman" w:cs="Times New Roman"/>
          <w:sz w:val="24"/>
          <w:szCs w:val="24"/>
          <w:lang w:val="en-MY"/>
        </w:rPr>
        <w:t xml:space="preserve">economic governance is defined as the </w:t>
      </w:r>
      <w:r w:rsidR="007E4E54" w:rsidRPr="007E4E54">
        <w:rPr>
          <w:rFonts w:ascii="Times New Roman" w:hAnsi="Times New Roman" w:cs="Times New Roman"/>
          <w:sz w:val="24"/>
          <w:szCs w:val="24"/>
          <w:lang w:val="en-MY"/>
        </w:rPr>
        <w:t xml:space="preserve">system </w:t>
      </w:r>
      <w:r w:rsidR="007E4E54" w:rsidRPr="007E4E54">
        <w:rPr>
          <w:rFonts w:ascii="Times New Roman" w:hAnsi="Times New Roman" w:cs="Times New Roman"/>
          <w:color w:val="0C000F"/>
          <w:sz w:val="24"/>
          <w:szCs w:val="24"/>
          <w:shd w:val="clear" w:color="auto" w:fill="FFFFFF"/>
          <w:lang w:val="en-MY"/>
        </w:rPr>
        <w:t>by which government institutions, including independent actors like the central bank, fiscal councils and other independent bodies, regulate and steer the economy</w:t>
      </w:r>
      <w:r w:rsidR="007E4E54" w:rsidRPr="007E4E54">
        <w:rPr>
          <w:rStyle w:val="FootnoteReference"/>
          <w:rFonts w:ascii="Times New Roman" w:hAnsi="Times New Roman" w:cs="Times New Roman"/>
          <w:color w:val="0C000F"/>
          <w:sz w:val="24"/>
          <w:szCs w:val="24"/>
          <w:shd w:val="clear" w:color="auto" w:fill="FFFFFF"/>
          <w:lang w:val="en-MY"/>
        </w:rPr>
        <w:footnoteReference w:id="18"/>
      </w:r>
      <w:r w:rsidR="007E4E54" w:rsidRPr="007E4E54">
        <w:rPr>
          <w:rFonts w:ascii="Times New Roman" w:hAnsi="Times New Roman" w:cs="Times New Roman"/>
          <w:color w:val="0C000F"/>
          <w:sz w:val="24"/>
          <w:szCs w:val="24"/>
          <w:shd w:val="clear" w:color="auto" w:fill="FFFFFF"/>
          <w:lang w:val="en-MY"/>
        </w:rPr>
        <w:t>.</w:t>
      </w:r>
    </w:p>
    <w:p w:rsidR="007E4E54" w:rsidRDefault="007E4E54" w:rsidP="007E4E54">
      <w:pPr>
        <w:tabs>
          <w:tab w:val="num" w:pos="720"/>
          <w:tab w:val="num" w:pos="1440"/>
        </w:tabs>
        <w:spacing w:line="240" w:lineRule="atLeast"/>
        <w:jc w:val="both"/>
        <w:rPr>
          <w:rFonts w:ascii="Times New Roman" w:hAnsi="Times New Roman" w:cs="Times New Roman"/>
          <w:color w:val="0C000F"/>
          <w:sz w:val="24"/>
          <w:szCs w:val="24"/>
          <w:shd w:val="clear" w:color="auto" w:fill="FFFFFF"/>
          <w:lang w:val="en-MY"/>
        </w:rPr>
      </w:pPr>
      <w:r>
        <w:rPr>
          <w:rFonts w:ascii="Times New Roman" w:hAnsi="Times New Roman" w:cs="Times New Roman"/>
          <w:color w:val="0C000F"/>
          <w:sz w:val="24"/>
          <w:szCs w:val="24"/>
          <w:shd w:val="clear" w:color="auto" w:fill="FFFFFF"/>
          <w:lang w:val="en-MY"/>
        </w:rPr>
        <w:t>Key areas of economic governance and consequently of meeting economic criteria for accession to the EU include, among others, the following ones</w:t>
      </w:r>
      <w:r>
        <w:rPr>
          <w:rStyle w:val="FootnoteReference"/>
          <w:rFonts w:ascii="Times New Roman" w:hAnsi="Times New Roman" w:cs="Times New Roman"/>
          <w:color w:val="0C000F"/>
          <w:sz w:val="24"/>
          <w:szCs w:val="24"/>
          <w:shd w:val="clear" w:color="auto" w:fill="FFFFFF"/>
          <w:lang w:val="en-MY"/>
        </w:rPr>
        <w:footnoteReference w:id="19"/>
      </w:r>
      <w:r>
        <w:rPr>
          <w:rFonts w:ascii="Times New Roman" w:hAnsi="Times New Roman" w:cs="Times New Roman"/>
          <w:color w:val="0C000F"/>
          <w:sz w:val="24"/>
          <w:szCs w:val="24"/>
          <w:shd w:val="clear" w:color="auto" w:fill="FFFFFF"/>
          <w:lang w:val="en-MY"/>
        </w:rPr>
        <w:t xml:space="preserve">: </w:t>
      </w:r>
    </w:p>
    <w:p w:rsidR="007E4E54" w:rsidRPr="009503AA" w:rsidRDefault="007E4E54" w:rsidP="007E4E54">
      <w:pPr>
        <w:pStyle w:val="ListParagraph"/>
        <w:numPr>
          <w:ilvl w:val="0"/>
          <w:numId w:val="30"/>
        </w:numPr>
        <w:autoSpaceDE w:val="0"/>
        <w:autoSpaceDN w:val="0"/>
        <w:adjustRightInd w:val="0"/>
        <w:spacing w:after="0" w:line="240" w:lineRule="atLeast"/>
        <w:ind w:left="426"/>
        <w:jc w:val="both"/>
        <w:rPr>
          <w:rFonts w:ascii="Times New Roman" w:hAnsi="Times New Roman" w:cs="Times New Roman"/>
          <w:sz w:val="24"/>
          <w:szCs w:val="24"/>
          <w:lang w:val="en-PH"/>
        </w:rPr>
      </w:pPr>
      <w:r w:rsidRPr="008C753C">
        <w:rPr>
          <w:rFonts w:ascii="Times New Roman" w:hAnsi="Times New Roman" w:cs="Times New Roman"/>
          <w:i/>
          <w:color w:val="0C000F"/>
          <w:sz w:val="24"/>
          <w:szCs w:val="24"/>
          <w:shd w:val="clear" w:color="auto" w:fill="FFFFFF"/>
          <w:lang w:val="en-PH"/>
        </w:rPr>
        <w:lastRenderedPageBreak/>
        <w:t>Macroeconomic stability</w:t>
      </w:r>
      <w:r w:rsidRPr="009503AA">
        <w:rPr>
          <w:rFonts w:ascii="Times New Roman" w:hAnsi="Times New Roman" w:cs="Times New Roman"/>
          <w:color w:val="0C000F"/>
          <w:sz w:val="24"/>
          <w:szCs w:val="24"/>
          <w:shd w:val="clear" w:color="auto" w:fill="FFFFFF"/>
          <w:lang w:val="en-PH"/>
        </w:rPr>
        <w:t xml:space="preserve"> (stylized challenges: (i) s</w:t>
      </w:r>
      <w:r w:rsidRPr="009503AA">
        <w:rPr>
          <w:rFonts w:ascii="Times New Roman" w:hAnsi="Times New Roman" w:cs="Times New Roman"/>
          <w:sz w:val="24"/>
          <w:szCs w:val="24"/>
          <w:lang w:val="en-PH"/>
        </w:rPr>
        <w:t>trengthening fiscal consolidation by reducing budget deficits and implementing credible public sector reforms, (ii) strengthening public financial management, including revenue administration and collection, budget formulation and execution, accounting and reporting, and external oversight</w:t>
      </w:r>
      <w:r>
        <w:rPr>
          <w:rFonts w:ascii="Times New Roman" w:hAnsi="Times New Roman" w:cs="Times New Roman"/>
          <w:sz w:val="24"/>
          <w:szCs w:val="24"/>
          <w:lang w:val="en-PH"/>
        </w:rPr>
        <w:t>),</w:t>
      </w:r>
    </w:p>
    <w:p w:rsidR="007E4E54" w:rsidRPr="009503AA" w:rsidRDefault="007E4E54" w:rsidP="007E4E54">
      <w:pPr>
        <w:pStyle w:val="ListParagraph"/>
        <w:numPr>
          <w:ilvl w:val="0"/>
          <w:numId w:val="30"/>
        </w:numPr>
        <w:autoSpaceDE w:val="0"/>
        <w:autoSpaceDN w:val="0"/>
        <w:adjustRightInd w:val="0"/>
        <w:spacing w:after="0" w:line="240" w:lineRule="atLeast"/>
        <w:ind w:left="426"/>
        <w:jc w:val="both"/>
        <w:rPr>
          <w:rFonts w:ascii="Times New Roman" w:hAnsi="Times New Roman" w:cs="Times New Roman"/>
          <w:sz w:val="24"/>
          <w:szCs w:val="24"/>
          <w:lang w:val="en-PH"/>
        </w:rPr>
      </w:pPr>
      <w:r w:rsidRPr="008C753C">
        <w:rPr>
          <w:rFonts w:ascii="Times New Roman" w:hAnsi="Times New Roman" w:cs="Times New Roman"/>
          <w:i/>
          <w:color w:val="0C000F"/>
          <w:sz w:val="24"/>
          <w:szCs w:val="24"/>
          <w:shd w:val="clear" w:color="auto" w:fill="FFFFFF"/>
          <w:lang w:val="en-PH"/>
        </w:rPr>
        <w:t>Welcoming business environment</w:t>
      </w:r>
      <w:r w:rsidRPr="009503AA">
        <w:rPr>
          <w:rFonts w:ascii="Times New Roman" w:hAnsi="Times New Roman" w:cs="Times New Roman"/>
          <w:color w:val="0C000F"/>
          <w:sz w:val="24"/>
          <w:szCs w:val="24"/>
          <w:shd w:val="clear" w:color="auto" w:fill="FFFFFF"/>
          <w:lang w:val="en-PH"/>
        </w:rPr>
        <w:t xml:space="preserve"> (stylized challenges: (i) i</w:t>
      </w:r>
      <w:r w:rsidRPr="009503AA">
        <w:rPr>
          <w:rFonts w:ascii="Times New Roman" w:hAnsi="Times New Roman" w:cs="Times New Roman"/>
          <w:sz w:val="24"/>
          <w:szCs w:val="24"/>
          <w:lang w:val="en-PH"/>
        </w:rPr>
        <w:t>mproving the business environment, including the digital economy, (ii) supporting private-sector development, (iii) reducing para-fiscal charges, (iv) simplifying regulation and boosting research investment,</w:t>
      </w:r>
      <w:r>
        <w:rPr>
          <w:rFonts w:ascii="Times New Roman" w:hAnsi="Times New Roman" w:cs="Times New Roman"/>
          <w:sz w:val="24"/>
          <w:szCs w:val="24"/>
          <w:lang w:val="en-PH"/>
        </w:rPr>
        <w:t xml:space="preserve">  </w:t>
      </w:r>
      <w:r w:rsidRPr="009503AA">
        <w:rPr>
          <w:rFonts w:ascii="Times New Roman" w:hAnsi="Times New Roman" w:cs="Times New Roman"/>
          <w:sz w:val="24"/>
          <w:szCs w:val="24"/>
          <w:lang w:val="en-PH"/>
        </w:rPr>
        <w:t>and (v) restructuring and improving governance of state-owned enterprises)</w:t>
      </w:r>
      <w:r>
        <w:rPr>
          <w:rFonts w:ascii="Times New Roman" w:hAnsi="Times New Roman" w:cs="Times New Roman"/>
          <w:sz w:val="24"/>
          <w:szCs w:val="24"/>
          <w:lang w:val="en-PH"/>
        </w:rPr>
        <w:t>,</w:t>
      </w:r>
    </w:p>
    <w:p w:rsidR="007E4E54" w:rsidRPr="009503AA" w:rsidRDefault="007E4E54" w:rsidP="007E4E54">
      <w:pPr>
        <w:pStyle w:val="ListParagraph"/>
        <w:numPr>
          <w:ilvl w:val="0"/>
          <w:numId w:val="30"/>
        </w:numPr>
        <w:autoSpaceDE w:val="0"/>
        <w:autoSpaceDN w:val="0"/>
        <w:adjustRightInd w:val="0"/>
        <w:spacing w:after="0" w:line="240" w:lineRule="atLeast"/>
        <w:ind w:left="426"/>
        <w:jc w:val="both"/>
        <w:rPr>
          <w:rFonts w:ascii="Times New Roman" w:hAnsi="Times New Roman" w:cs="Times New Roman"/>
          <w:sz w:val="24"/>
          <w:szCs w:val="24"/>
          <w:lang w:val="en-PH"/>
        </w:rPr>
      </w:pPr>
      <w:r w:rsidRPr="008C753C">
        <w:rPr>
          <w:rFonts w:ascii="Times New Roman" w:hAnsi="Times New Roman" w:cs="Times New Roman"/>
          <w:i/>
          <w:color w:val="0C000F"/>
          <w:sz w:val="24"/>
          <w:szCs w:val="24"/>
          <w:shd w:val="clear" w:color="auto" w:fill="FFFFFF"/>
          <w:lang w:val="en-PH"/>
        </w:rPr>
        <w:t>Functioning labour market</w:t>
      </w:r>
      <w:r w:rsidRPr="009503AA">
        <w:rPr>
          <w:rFonts w:ascii="Times New Roman" w:hAnsi="Times New Roman" w:cs="Times New Roman"/>
          <w:color w:val="0C000F"/>
          <w:sz w:val="24"/>
          <w:szCs w:val="24"/>
          <w:shd w:val="clear" w:color="auto" w:fill="FFFFFF"/>
          <w:lang w:val="en-PH"/>
        </w:rPr>
        <w:t xml:space="preserve"> (stylized challenges: (i) e</w:t>
      </w:r>
      <w:r w:rsidRPr="009503AA">
        <w:rPr>
          <w:rFonts w:ascii="Times New Roman" w:hAnsi="Times New Roman" w:cs="Times New Roman"/>
          <w:sz w:val="24"/>
          <w:szCs w:val="24"/>
          <w:lang w:val="en-PH"/>
        </w:rPr>
        <w:t xml:space="preserve">stablishing functioning labour markets, including sufficient flexibility, (ii) addressing the informal sector, (iii) improving the employability of workers, and </w:t>
      </w:r>
      <w:r>
        <w:rPr>
          <w:rFonts w:ascii="Times New Roman" w:hAnsi="Times New Roman" w:cs="Times New Roman"/>
          <w:sz w:val="24"/>
          <w:szCs w:val="24"/>
          <w:lang w:val="en-PH"/>
        </w:rPr>
        <w:t xml:space="preserve">i(v) improving the </w:t>
      </w:r>
      <w:r w:rsidRPr="009503AA">
        <w:rPr>
          <w:rFonts w:ascii="Times New Roman" w:hAnsi="Times New Roman" w:cs="Times New Roman"/>
          <w:sz w:val="24"/>
          <w:szCs w:val="24"/>
          <w:lang w:val="en-PH"/>
        </w:rPr>
        <w:t>align</w:t>
      </w:r>
      <w:r>
        <w:rPr>
          <w:rFonts w:ascii="Times New Roman" w:hAnsi="Times New Roman" w:cs="Times New Roman"/>
          <w:sz w:val="24"/>
          <w:szCs w:val="24"/>
          <w:lang w:val="en-PH"/>
        </w:rPr>
        <w:t xml:space="preserve">ment of </w:t>
      </w:r>
      <w:r w:rsidRPr="009503AA">
        <w:rPr>
          <w:rFonts w:ascii="Times New Roman" w:hAnsi="Times New Roman" w:cs="Times New Roman"/>
          <w:sz w:val="24"/>
          <w:szCs w:val="24"/>
          <w:lang w:val="en-PH"/>
        </w:rPr>
        <w:t>education and skills with labour market needs)</w:t>
      </w:r>
      <w:r>
        <w:rPr>
          <w:rFonts w:ascii="Times New Roman" w:hAnsi="Times New Roman" w:cs="Times New Roman"/>
          <w:sz w:val="24"/>
          <w:szCs w:val="24"/>
          <w:lang w:val="en-PH"/>
        </w:rPr>
        <w:t>,</w:t>
      </w:r>
    </w:p>
    <w:p w:rsidR="007E4E54" w:rsidRPr="009503AA" w:rsidRDefault="007E4E54"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en-PH"/>
        </w:rPr>
      </w:pPr>
      <w:r w:rsidRPr="008C753C">
        <w:rPr>
          <w:rFonts w:ascii="Times New Roman" w:hAnsi="Times New Roman" w:cs="Times New Roman"/>
          <w:i/>
          <w:color w:val="0C000F"/>
          <w:sz w:val="24"/>
          <w:szCs w:val="24"/>
          <w:shd w:val="clear" w:color="auto" w:fill="FFFFFF"/>
          <w:lang w:val="en-PH"/>
        </w:rPr>
        <w:t>Functioning financial markets</w:t>
      </w:r>
      <w:r w:rsidRPr="009503AA">
        <w:rPr>
          <w:rFonts w:ascii="Times New Roman" w:hAnsi="Times New Roman" w:cs="Times New Roman"/>
          <w:color w:val="0C000F"/>
          <w:sz w:val="24"/>
          <w:szCs w:val="24"/>
          <w:shd w:val="clear" w:color="auto" w:fill="FFFFFF"/>
          <w:lang w:val="en-PH"/>
        </w:rPr>
        <w:t xml:space="preserve"> (stylized challenge: a</w:t>
      </w:r>
      <w:r w:rsidRPr="009503AA">
        <w:rPr>
          <w:rFonts w:ascii="Times New Roman" w:hAnsi="Times New Roman" w:cs="Times New Roman"/>
          <w:sz w:val="24"/>
          <w:szCs w:val="24"/>
          <w:lang w:val="en-PH"/>
        </w:rPr>
        <w:t>ddressing the high burden of non-performing loans)</w:t>
      </w:r>
      <w:r>
        <w:rPr>
          <w:rFonts w:ascii="Times New Roman" w:hAnsi="Times New Roman" w:cs="Times New Roman"/>
          <w:sz w:val="24"/>
          <w:szCs w:val="24"/>
          <w:lang w:val="en-PH"/>
        </w:rPr>
        <w:t>,</w:t>
      </w:r>
    </w:p>
    <w:p w:rsidR="007E4E54" w:rsidRPr="009503AA" w:rsidRDefault="007E4E54"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en-PH"/>
        </w:rPr>
      </w:pPr>
      <w:r w:rsidRPr="008C753C">
        <w:rPr>
          <w:rFonts w:ascii="Times New Roman" w:hAnsi="Times New Roman" w:cs="Times New Roman"/>
          <w:i/>
          <w:color w:val="0C000F"/>
          <w:sz w:val="24"/>
          <w:szCs w:val="24"/>
          <w:shd w:val="clear" w:color="auto" w:fill="FFFFFF"/>
          <w:lang w:val="en-PH"/>
        </w:rPr>
        <w:t>Good levels and quality of education</w:t>
      </w:r>
      <w:r w:rsidRPr="009503AA">
        <w:rPr>
          <w:rFonts w:ascii="Times New Roman" w:hAnsi="Times New Roman" w:cs="Times New Roman"/>
          <w:color w:val="0C000F"/>
          <w:sz w:val="24"/>
          <w:szCs w:val="24"/>
          <w:shd w:val="clear" w:color="auto" w:fill="FFFFFF"/>
          <w:lang w:val="en-PH"/>
        </w:rPr>
        <w:t xml:space="preserve"> (stylized challenges: </w:t>
      </w:r>
      <w:r>
        <w:rPr>
          <w:rFonts w:ascii="Times New Roman" w:hAnsi="Times New Roman" w:cs="Times New Roman"/>
          <w:color w:val="0C000F"/>
          <w:sz w:val="24"/>
          <w:szCs w:val="24"/>
          <w:shd w:val="clear" w:color="auto" w:fill="FFFFFF"/>
          <w:lang w:val="en-PH"/>
        </w:rPr>
        <w:t xml:space="preserve">(i) </w:t>
      </w:r>
      <w:r w:rsidRPr="009503AA">
        <w:rPr>
          <w:rFonts w:ascii="Times New Roman" w:hAnsi="Times New Roman" w:cs="Times New Roman"/>
          <w:sz w:val="24"/>
          <w:szCs w:val="24"/>
          <w:lang w:val="en-PH"/>
        </w:rPr>
        <w:t>improving the employability of workers, and better aligning education and skills with labour market needs)</w:t>
      </w:r>
      <w:r>
        <w:rPr>
          <w:rFonts w:ascii="Times New Roman" w:hAnsi="Times New Roman" w:cs="Times New Roman"/>
          <w:sz w:val="24"/>
          <w:szCs w:val="24"/>
          <w:lang w:val="en-PH"/>
        </w:rPr>
        <w:t>,</w:t>
      </w:r>
    </w:p>
    <w:p w:rsidR="007E4E54" w:rsidRPr="009503AA" w:rsidRDefault="007E4E54"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en-PH"/>
        </w:rPr>
      </w:pPr>
      <w:r w:rsidRPr="008C753C">
        <w:rPr>
          <w:rFonts w:ascii="Times New Roman" w:hAnsi="Times New Roman" w:cs="Times New Roman"/>
          <w:i/>
          <w:color w:val="0C000F"/>
          <w:sz w:val="24"/>
          <w:szCs w:val="24"/>
          <w:shd w:val="clear" w:color="auto" w:fill="FFFFFF"/>
          <w:lang w:val="en-PH"/>
        </w:rPr>
        <w:t>Good level of infrastructure</w:t>
      </w:r>
      <w:r w:rsidRPr="009503AA">
        <w:rPr>
          <w:rFonts w:ascii="Times New Roman" w:hAnsi="Times New Roman" w:cs="Times New Roman"/>
          <w:color w:val="0C000F"/>
          <w:sz w:val="24"/>
          <w:szCs w:val="24"/>
          <w:shd w:val="clear" w:color="auto" w:fill="FFFFFF"/>
          <w:lang w:val="en-PH"/>
        </w:rPr>
        <w:t xml:space="preserve"> (stylized challenge</w:t>
      </w:r>
      <w:r>
        <w:rPr>
          <w:rFonts w:ascii="Times New Roman" w:hAnsi="Times New Roman" w:cs="Times New Roman"/>
          <w:color w:val="0C000F"/>
          <w:sz w:val="24"/>
          <w:szCs w:val="24"/>
          <w:shd w:val="clear" w:color="auto" w:fill="FFFFFF"/>
          <w:lang w:val="en-PH"/>
        </w:rPr>
        <w:t>s</w:t>
      </w:r>
      <w:r w:rsidRPr="009503AA">
        <w:rPr>
          <w:rFonts w:ascii="Times New Roman" w:hAnsi="Times New Roman" w:cs="Times New Roman"/>
          <w:color w:val="0C000F"/>
          <w:sz w:val="24"/>
          <w:szCs w:val="24"/>
          <w:shd w:val="clear" w:color="auto" w:fill="FFFFFF"/>
          <w:lang w:val="en-PH"/>
        </w:rPr>
        <w:t>: i</w:t>
      </w:r>
      <w:r w:rsidRPr="009503AA">
        <w:rPr>
          <w:rFonts w:ascii="Times New Roman" w:hAnsi="Times New Roman" w:cs="Times New Roman"/>
          <w:sz w:val="24"/>
          <w:szCs w:val="24"/>
          <w:lang w:val="en-PH"/>
        </w:rPr>
        <w:t>mproving energy and transport networks and increasing connectivity</w:t>
      </w:r>
      <w:r>
        <w:rPr>
          <w:rFonts w:ascii="Times New Roman" w:hAnsi="Times New Roman" w:cs="Times New Roman"/>
          <w:sz w:val="24"/>
          <w:szCs w:val="24"/>
          <w:lang w:val="en-PH"/>
        </w:rPr>
        <w:t>, (ii) supporting the supply of clean, affordable and secure energy, and (iii) unlocking the renewable energy potential and reducing the environmental and health impact of the energy and transport sectors),</w:t>
      </w:r>
    </w:p>
    <w:p w:rsidR="007E4E54" w:rsidRPr="009503AA" w:rsidRDefault="007E4E54"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en-PH"/>
        </w:rPr>
      </w:pPr>
      <w:r w:rsidRPr="008C753C">
        <w:rPr>
          <w:rFonts w:ascii="Times New Roman" w:hAnsi="Times New Roman" w:cs="Times New Roman"/>
          <w:i/>
          <w:color w:val="0C000F"/>
          <w:sz w:val="24"/>
          <w:szCs w:val="24"/>
          <w:shd w:val="clear" w:color="auto" w:fill="FFFFFF"/>
          <w:lang w:val="en-PH"/>
        </w:rPr>
        <w:t>Research, development and innovation</w:t>
      </w:r>
      <w:r w:rsidRPr="009503AA">
        <w:rPr>
          <w:rFonts w:ascii="Times New Roman" w:hAnsi="Times New Roman" w:cs="Times New Roman"/>
          <w:b/>
          <w:i/>
          <w:color w:val="0C000F"/>
          <w:sz w:val="24"/>
          <w:szCs w:val="24"/>
          <w:shd w:val="clear" w:color="auto" w:fill="FFFFFF"/>
          <w:lang w:val="en-PH"/>
        </w:rPr>
        <w:t xml:space="preserve"> </w:t>
      </w:r>
      <w:r w:rsidRPr="009503AA">
        <w:rPr>
          <w:rFonts w:ascii="Times New Roman" w:hAnsi="Times New Roman" w:cs="Times New Roman"/>
          <w:color w:val="0C000F"/>
          <w:sz w:val="24"/>
          <w:szCs w:val="24"/>
          <w:shd w:val="clear" w:color="auto" w:fill="FFFFFF"/>
          <w:lang w:val="en-PH"/>
        </w:rPr>
        <w:t>(stylized challenge</w:t>
      </w:r>
      <w:r>
        <w:rPr>
          <w:rFonts w:ascii="Times New Roman" w:hAnsi="Times New Roman" w:cs="Times New Roman"/>
          <w:color w:val="0C000F"/>
          <w:sz w:val="24"/>
          <w:szCs w:val="24"/>
          <w:shd w:val="clear" w:color="auto" w:fill="FFFFFF"/>
          <w:lang w:val="en-PH"/>
        </w:rPr>
        <w:t>s</w:t>
      </w:r>
      <w:r w:rsidRPr="009503AA">
        <w:rPr>
          <w:rFonts w:ascii="Times New Roman" w:hAnsi="Times New Roman" w:cs="Times New Roman"/>
          <w:color w:val="0C000F"/>
          <w:sz w:val="24"/>
          <w:szCs w:val="24"/>
          <w:shd w:val="clear" w:color="auto" w:fill="FFFFFF"/>
          <w:lang w:val="en-PH"/>
        </w:rPr>
        <w:t xml:space="preserve">; </w:t>
      </w:r>
      <w:r>
        <w:rPr>
          <w:rFonts w:ascii="Times New Roman" w:hAnsi="Times New Roman" w:cs="Times New Roman"/>
          <w:color w:val="0C000F"/>
          <w:sz w:val="24"/>
          <w:szCs w:val="24"/>
          <w:shd w:val="clear" w:color="auto" w:fill="FFFFFF"/>
          <w:lang w:val="en-PH"/>
        </w:rPr>
        <w:t xml:space="preserve">(i) improving the capacity of the economy / business to absorb technology and to innovate, (ii) stimulating SMART specialization and business – research interlinkages, (iii) supporting innovation specific support to SMEs, and (iv) strengthening digitalization in line with EU priorities in this area),  </w:t>
      </w:r>
    </w:p>
    <w:p w:rsidR="007E4E54" w:rsidRDefault="007E4E54"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color w:val="0C000F"/>
          <w:sz w:val="24"/>
          <w:szCs w:val="24"/>
          <w:shd w:val="clear" w:color="auto" w:fill="FFFFFF"/>
          <w:lang w:val="en-PH"/>
        </w:rPr>
      </w:pPr>
      <w:r w:rsidRPr="005455ED">
        <w:rPr>
          <w:rFonts w:ascii="Times New Roman" w:hAnsi="Times New Roman" w:cs="Times New Roman"/>
          <w:i/>
          <w:color w:val="0C000F"/>
          <w:sz w:val="24"/>
          <w:szCs w:val="24"/>
          <w:shd w:val="clear" w:color="auto" w:fill="FFFFFF"/>
          <w:lang w:val="en-PH"/>
        </w:rPr>
        <w:t>Economic integration with the EU and the world</w:t>
      </w:r>
      <w:r w:rsidRPr="005455ED">
        <w:rPr>
          <w:rFonts w:ascii="Times New Roman" w:hAnsi="Times New Roman" w:cs="Times New Roman"/>
          <w:color w:val="0C000F"/>
          <w:sz w:val="24"/>
          <w:szCs w:val="24"/>
          <w:shd w:val="clear" w:color="auto" w:fill="FFFFFF"/>
          <w:lang w:val="en-PH"/>
        </w:rPr>
        <w:t xml:space="preserve"> (stylized challenges; </w:t>
      </w:r>
      <w:r>
        <w:rPr>
          <w:rFonts w:ascii="Times New Roman" w:hAnsi="Times New Roman" w:cs="Times New Roman"/>
          <w:color w:val="0C000F"/>
          <w:sz w:val="24"/>
          <w:szCs w:val="24"/>
          <w:shd w:val="clear" w:color="auto" w:fill="FFFFFF"/>
          <w:lang w:val="en-PH"/>
        </w:rPr>
        <w:t xml:space="preserve">(i) strengthening policies aiming at integration into global value chains, (ii) improving safety standards, (iii) removing technical barriers to trade, and (iv) addressing reforms deriving from the regional economic integration agenda. </w:t>
      </w:r>
    </w:p>
    <w:p w:rsidR="007E4E54" w:rsidRPr="007240F7" w:rsidRDefault="007E4E54" w:rsidP="007E4E54">
      <w:pPr>
        <w:pStyle w:val="ListParagraph"/>
        <w:numPr>
          <w:ilvl w:val="0"/>
          <w:numId w:val="29"/>
        </w:numPr>
        <w:autoSpaceDE w:val="0"/>
        <w:autoSpaceDN w:val="0"/>
        <w:adjustRightInd w:val="0"/>
        <w:spacing w:after="0" w:line="240" w:lineRule="atLeast"/>
        <w:ind w:left="426"/>
        <w:jc w:val="both"/>
        <w:rPr>
          <w:rFonts w:ascii="Times New Roman" w:hAnsi="Times New Roman" w:cs="Times New Roman"/>
          <w:sz w:val="24"/>
          <w:szCs w:val="24"/>
          <w:lang w:val="en-ZA"/>
        </w:rPr>
      </w:pPr>
      <w:r w:rsidRPr="007240F7">
        <w:rPr>
          <w:rFonts w:ascii="Times New Roman" w:hAnsi="Times New Roman" w:cs="Times New Roman"/>
          <w:i/>
          <w:color w:val="0C000F"/>
          <w:sz w:val="24"/>
          <w:szCs w:val="24"/>
          <w:shd w:val="clear" w:color="auto" w:fill="FFFFFF"/>
          <w:lang w:val="en-ZA"/>
        </w:rPr>
        <w:t xml:space="preserve">Social inclusion including the health sector </w:t>
      </w:r>
      <w:r w:rsidRPr="007240F7">
        <w:rPr>
          <w:rFonts w:ascii="Times New Roman" w:hAnsi="Times New Roman" w:cs="Times New Roman"/>
          <w:color w:val="0C000F"/>
          <w:sz w:val="24"/>
          <w:szCs w:val="24"/>
          <w:shd w:val="clear" w:color="auto" w:fill="FFFFFF"/>
          <w:lang w:val="en-ZA"/>
        </w:rPr>
        <w:t xml:space="preserve">(stylized challenges; (i) suppoting the provision of </w:t>
      </w:r>
      <w:r w:rsidRPr="007240F7">
        <w:rPr>
          <w:rFonts w:ascii="Times New Roman" w:hAnsi="Times New Roman" w:cs="Times New Roman"/>
          <w:sz w:val="24"/>
          <w:szCs w:val="24"/>
          <w:lang w:val="en-ZA"/>
        </w:rPr>
        <w:t xml:space="preserve">effective, efficient, transparent and adequate social protection throughout all stages of a person’s life, (ii) fostering social inclusion, promoting equal opportunities and addressing inequalities and poverty, particularly in view of the impact of the Covid-19 crisis, and (iii) improving access to quality early childhood education and care, housing, healthcare and long-term care). </w:t>
      </w:r>
    </w:p>
    <w:p w:rsidR="00A8273A" w:rsidRDefault="00A8273A" w:rsidP="007E4E54">
      <w:pPr>
        <w:pStyle w:val="NoSpacing"/>
        <w:spacing w:line="240" w:lineRule="atLeast"/>
        <w:jc w:val="both"/>
        <w:rPr>
          <w:rFonts w:ascii="Times New Roman" w:eastAsia="Times New Roman" w:hAnsi="Times New Roman" w:cs="Times New Roman"/>
          <w:color w:val="444444"/>
          <w:sz w:val="24"/>
          <w:szCs w:val="24"/>
          <w:lang w:val="en-ZA" w:eastAsia="sl-SI"/>
        </w:rPr>
      </w:pPr>
    </w:p>
    <w:p w:rsidR="00F808CE" w:rsidRPr="00876911" w:rsidRDefault="00F808CE" w:rsidP="005B7FE1">
      <w:pPr>
        <w:pStyle w:val="NoSpacing"/>
        <w:spacing w:line="240" w:lineRule="atLeast"/>
        <w:jc w:val="both"/>
        <w:rPr>
          <w:rFonts w:ascii="Times New Roman" w:hAnsi="Times New Roman" w:cs="Times New Roman"/>
          <w:sz w:val="24"/>
          <w:szCs w:val="24"/>
          <w:lang w:val="en-MY"/>
        </w:rPr>
      </w:pPr>
      <w:r w:rsidRPr="00876911">
        <w:rPr>
          <w:rFonts w:ascii="Times New Roman" w:hAnsi="Times New Roman" w:cs="Times New Roman"/>
          <w:bCs/>
          <w:color w:val="0C000F"/>
          <w:sz w:val="24"/>
          <w:szCs w:val="24"/>
          <w:shd w:val="clear" w:color="auto" w:fill="FFFFFF"/>
          <w:lang w:val="en-PH"/>
        </w:rPr>
        <w:t xml:space="preserve">Being aware of the new </w:t>
      </w:r>
      <w:r w:rsidR="009824C3" w:rsidRPr="00876911">
        <w:rPr>
          <w:rFonts w:ascii="Times New Roman" w:hAnsi="Times New Roman" w:cs="Times New Roman"/>
          <w:bCs/>
          <w:color w:val="0C000F"/>
          <w:sz w:val="24"/>
          <w:szCs w:val="24"/>
          <w:shd w:val="clear" w:color="auto" w:fill="FFFFFF"/>
          <w:lang w:val="en-PH"/>
        </w:rPr>
        <w:t xml:space="preserve">development strategy of the EU </w:t>
      </w:r>
      <w:r w:rsidRPr="00876911">
        <w:rPr>
          <w:rFonts w:ascii="Times New Roman" w:hAnsi="Times New Roman" w:cs="Times New Roman"/>
          <w:bCs/>
          <w:color w:val="0C000F"/>
          <w:sz w:val="24"/>
          <w:szCs w:val="24"/>
          <w:shd w:val="clear" w:color="auto" w:fill="FFFFFF"/>
          <w:lang w:val="en-PH"/>
        </w:rPr>
        <w:t xml:space="preserve">focused on the green and digital transformation, it is safe to conclude that they will have a strong fingerprint most of the above mentioned areas of structural reforms to be implemented in the EU candidate countries in the forthcoming period. Indications for this orientation are clearly visible in the </w:t>
      </w:r>
      <w:r w:rsidRPr="00876911">
        <w:rPr>
          <w:rFonts w:ascii="Times New Roman" w:hAnsi="Times New Roman" w:cs="Times New Roman"/>
          <w:bCs/>
          <w:sz w:val="24"/>
          <w:szCs w:val="24"/>
          <w:lang w:val="en-PH"/>
        </w:rPr>
        <w:t>European Commission’s</w:t>
      </w:r>
      <w:r w:rsidRPr="00876911">
        <w:rPr>
          <w:rFonts w:ascii="Times New Roman" w:hAnsi="Times New Roman" w:cs="Times New Roman"/>
          <w:bCs/>
          <w:i/>
          <w:sz w:val="24"/>
          <w:szCs w:val="24"/>
          <w:lang w:val="en-PH"/>
        </w:rPr>
        <w:t xml:space="preserve"> </w:t>
      </w:r>
      <w:r w:rsidRPr="00876911">
        <w:rPr>
          <w:rFonts w:ascii="Times New Roman" w:hAnsi="Times New Roman" w:cs="Times New Roman"/>
          <w:i/>
          <w:sz w:val="24"/>
          <w:szCs w:val="24"/>
          <w:lang w:val="en-MY"/>
        </w:rPr>
        <w:t>Guidance for the Economic Reform Programmes 2022-2024 for the Western Balkans and Turkey</w:t>
      </w:r>
      <w:r w:rsidR="004258A1">
        <w:rPr>
          <w:rFonts w:ascii="Times New Roman" w:hAnsi="Times New Roman" w:cs="Times New Roman"/>
          <w:i/>
          <w:sz w:val="24"/>
          <w:szCs w:val="24"/>
          <w:lang w:val="en-MY"/>
        </w:rPr>
        <w:t xml:space="preserve"> </w:t>
      </w:r>
      <w:r w:rsidR="004258A1">
        <w:rPr>
          <w:rFonts w:ascii="Times New Roman" w:hAnsi="Times New Roman" w:cs="Times New Roman"/>
          <w:sz w:val="24"/>
          <w:szCs w:val="24"/>
          <w:lang w:val="en-MY"/>
        </w:rPr>
        <w:t xml:space="preserve">(see, elaboration on this subject in the </w:t>
      </w:r>
      <w:r w:rsidR="004258A1" w:rsidRPr="004258A1">
        <w:rPr>
          <w:rFonts w:ascii="Times New Roman" w:hAnsi="Times New Roman" w:cs="Times New Roman"/>
          <w:i/>
          <w:sz w:val="24"/>
          <w:szCs w:val="24"/>
          <w:lang w:val="en-MY"/>
        </w:rPr>
        <w:t>sub-chapter 2.2.</w:t>
      </w:r>
      <w:r w:rsidR="004258A1">
        <w:rPr>
          <w:rFonts w:ascii="Times New Roman" w:hAnsi="Times New Roman" w:cs="Times New Roman"/>
          <w:sz w:val="24"/>
          <w:szCs w:val="24"/>
          <w:lang w:val="en-MY"/>
        </w:rPr>
        <w:t>)</w:t>
      </w:r>
      <w:r w:rsidRPr="00876911">
        <w:rPr>
          <w:rFonts w:ascii="Times New Roman" w:hAnsi="Times New Roman" w:cs="Times New Roman"/>
          <w:sz w:val="24"/>
          <w:szCs w:val="24"/>
          <w:lang w:val="en-MY"/>
        </w:rPr>
        <w:t xml:space="preserve">. </w:t>
      </w:r>
      <w:r w:rsidRPr="00876911">
        <w:rPr>
          <w:rFonts w:ascii="Times New Roman" w:hAnsi="Times New Roman" w:cs="Times New Roman"/>
          <w:bCs/>
          <w:color w:val="0C000F"/>
          <w:sz w:val="24"/>
          <w:szCs w:val="24"/>
          <w:shd w:val="clear" w:color="auto" w:fill="FFFFFF"/>
          <w:lang w:val="en-PH"/>
        </w:rPr>
        <w:t xml:space="preserve">On the other hand, within the context of </w:t>
      </w:r>
      <w:r w:rsidR="007E4E54" w:rsidRPr="00876911">
        <w:rPr>
          <w:rFonts w:ascii="Times New Roman" w:hAnsi="Times New Roman" w:cs="Times New Roman"/>
          <w:sz w:val="24"/>
          <w:szCs w:val="24"/>
          <w:lang w:val="en-MY"/>
        </w:rPr>
        <w:t xml:space="preserve">the ongoing COVID crisis and its increasingly negative economic consequences, it is realistically to expect that mitigation of the crisis will remain an important economic priority of all </w:t>
      </w:r>
      <w:r w:rsidRPr="00876911">
        <w:rPr>
          <w:rFonts w:ascii="Times New Roman" w:hAnsi="Times New Roman" w:cs="Times New Roman"/>
          <w:sz w:val="24"/>
          <w:szCs w:val="24"/>
          <w:lang w:val="en-MY"/>
        </w:rPr>
        <w:t xml:space="preserve">the EU </w:t>
      </w:r>
      <w:r w:rsidR="007E4E54" w:rsidRPr="00876911">
        <w:rPr>
          <w:rFonts w:ascii="Times New Roman" w:hAnsi="Times New Roman" w:cs="Times New Roman"/>
          <w:sz w:val="24"/>
          <w:szCs w:val="24"/>
          <w:lang w:val="en-MY"/>
        </w:rPr>
        <w:t xml:space="preserve">candidate countries in the forthcoming period but with new challenges for </w:t>
      </w:r>
      <w:r w:rsidRPr="00876911">
        <w:rPr>
          <w:rFonts w:ascii="Times New Roman" w:hAnsi="Times New Roman" w:cs="Times New Roman"/>
          <w:sz w:val="24"/>
          <w:szCs w:val="24"/>
          <w:lang w:val="en-MY"/>
        </w:rPr>
        <w:t xml:space="preserve">the </w:t>
      </w:r>
      <w:r w:rsidR="007E4E54" w:rsidRPr="00876911">
        <w:rPr>
          <w:rFonts w:ascii="Times New Roman" w:hAnsi="Times New Roman" w:cs="Times New Roman"/>
          <w:sz w:val="24"/>
          <w:szCs w:val="24"/>
          <w:lang w:val="en-MY"/>
        </w:rPr>
        <w:t>countries’ macro-economic stability.</w:t>
      </w:r>
    </w:p>
    <w:p w:rsidR="00743563" w:rsidRDefault="00743563" w:rsidP="00940A51">
      <w:pPr>
        <w:pStyle w:val="NoSpacing"/>
        <w:rPr>
          <w:rFonts w:ascii="Times New Roman" w:hAnsi="Times New Roman" w:cs="Times New Roman"/>
          <w:b/>
          <w:sz w:val="24"/>
          <w:szCs w:val="24"/>
          <w:lang w:val="en-PH"/>
        </w:rPr>
      </w:pPr>
    </w:p>
    <w:p w:rsidR="001F006B" w:rsidRDefault="001F006B" w:rsidP="00940A51">
      <w:pPr>
        <w:pStyle w:val="NoSpacing"/>
        <w:rPr>
          <w:rFonts w:ascii="Times New Roman" w:hAnsi="Times New Roman" w:cs="Times New Roman"/>
          <w:b/>
          <w:sz w:val="24"/>
          <w:szCs w:val="24"/>
          <w:lang w:val="en-PH"/>
        </w:rPr>
      </w:pPr>
    </w:p>
    <w:p w:rsidR="001F006B" w:rsidRDefault="001F006B" w:rsidP="00940A51">
      <w:pPr>
        <w:pStyle w:val="NoSpacing"/>
        <w:rPr>
          <w:rFonts w:ascii="Times New Roman" w:hAnsi="Times New Roman" w:cs="Times New Roman"/>
          <w:b/>
          <w:sz w:val="24"/>
          <w:szCs w:val="24"/>
          <w:lang w:val="en-PH"/>
        </w:rPr>
      </w:pPr>
    </w:p>
    <w:p w:rsidR="001F006B" w:rsidRDefault="001F006B" w:rsidP="00940A51">
      <w:pPr>
        <w:pStyle w:val="NoSpacing"/>
        <w:rPr>
          <w:rFonts w:ascii="Times New Roman" w:hAnsi="Times New Roman" w:cs="Times New Roman"/>
          <w:b/>
          <w:sz w:val="24"/>
          <w:szCs w:val="24"/>
          <w:lang w:val="en-PH"/>
        </w:rPr>
      </w:pPr>
    </w:p>
    <w:p w:rsidR="00DA78EC" w:rsidRDefault="00876911" w:rsidP="00940A51">
      <w:pPr>
        <w:pStyle w:val="NoSpacing"/>
        <w:rPr>
          <w:rFonts w:ascii="Times New Roman" w:hAnsi="Times New Roman" w:cs="Times New Roman"/>
          <w:b/>
          <w:sz w:val="24"/>
          <w:szCs w:val="24"/>
          <w:lang w:val="en-PH"/>
        </w:rPr>
      </w:pPr>
      <w:r w:rsidRPr="00A8273A">
        <w:rPr>
          <w:rFonts w:ascii="Times New Roman" w:hAnsi="Times New Roman" w:cs="Times New Roman"/>
          <w:b/>
          <w:sz w:val="24"/>
          <w:szCs w:val="24"/>
          <w:lang w:val="en-PH"/>
        </w:rPr>
        <w:lastRenderedPageBreak/>
        <w:t>4.</w:t>
      </w:r>
      <w:r>
        <w:rPr>
          <w:rFonts w:ascii="Times New Roman" w:hAnsi="Times New Roman" w:cs="Times New Roman"/>
          <w:b/>
          <w:sz w:val="24"/>
          <w:szCs w:val="24"/>
          <w:lang w:val="en-PH"/>
        </w:rPr>
        <w:t>2</w:t>
      </w:r>
      <w:r w:rsidRPr="00A8273A">
        <w:rPr>
          <w:rFonts w:ascii="Times New Roman" w:hAnsi="Times New Roman" w:cs="Times New Roman"/>
          <w:b/>
          <w:sz w:val="24"/>
          <w:szCs w:val="24"/>
          <w:lang w:val="en-PH"/>
        </w:rPr>
        <w:t xml:space="preserve">. </w:t>
      </w:r>
      <w:r w:rsidRPr="000E29E7">
        <w:rPr>
          <w:rFonts w:ascii="Times New Roman" w:hAnsi="Times New Roman" w:cs="Times New Roman"/>
          <w:b/>
          <w:sz w:val="24"/>
          <w:szCs w:val="24"/>
          <w:u w:val="single"/>
          <w:lang w:val="en-PH"/>
        </w:rPr>
        <w:t>How</w:t>
      </w:r>
      <w:r>
        <w:rPr>
          <w:rFonts w:ascii="Times New Roman" w:hAnsi="Times New Roman" w:cs="Times New Roman"/>
          <w:b/>
          <w:sz w:val="24"/>
          <w:szCs w:val="24"/>
          <w:lang w:val="en-PH"/>
        </w:rPr>
        <w:t xml:space="preserve"> </w:t>
      </w:r>
      <w:r w:rsidR="00DA78EC">
        <w:rPr>
          <w:rFonts w:ascii="Times New Roman" w:hAnsi="Times New Roman" w:cs="Times New Roman"/>
          <w:b/>
          <w:sz w:val="24"/>
          <w:szCs w:val="24"/>
          <w:lang w:val="en-PH"/>
        </w:rPr>
        <w:t xml:space="preserve">the process of meeting </w:t>
      </w:r>
      <w:r>
        <w:rPr>
          <w:rFonts w:ascii="Times New Roman" w:hAnsi="Times New Roman" w:cs="Times New Roman"/>
          <w:b/>
          <w:sz w:val="24"/>
          <w:szCs w:val="24"/>
          <w:lang w:val="en-PH"/>
        </w:rPr>
        <w:t xml:space="preserve">the </w:t>
      </w:r>
      <w:r w:rsidR="00DA78EC">
        <w:rPr>
          <w:rFonts w:ascii="Times New Roman" w:hAnsi="Times New Roman" w:cs="Times New Roman"/>
          <w:b/>
          <w:sz w:val="24"/>
          <w:szCs w:val="24"/>
          <w:lang w:val="en-PH"/>
        </w:rPr>
        <w:t xml:space="preserve">Copenhagen </w:t>
      </w:r>
      <w:r>
        <w:rPr>
          <w:rFonts w:ascii="Times New Roman" w:hAnsi="Times New Roman" w:cs="Times New Roman"/>
          <w:b/>
          <w:sz w:val="24"/>
          <w:szCs w:val="24"/>
          <w:lang w:val="en-PH"/>
        </w:rPr>
        <w:t xml:space="preserve">economic criteria </w:t>
      </w:r>
      <w:r w:rsidR="00DA78EC">
        <w:rPr>
          <w:rFonts w:ascii="Times New Roman" w:hAnsi="Times New Roman" w:cs="Times New Roman"/>
          <w:b/>
          <w:sz w:val="24"/>
          <w:szCs w:val="24"/>
          <w:lang w:val="en-PH"/>
        </w:rPr>
        <w:t>will be organized in</w:t>
      </w:r>
    </w:p>
    <w:p w:rsidR="009F5D93" w:rsidRDefault="00DA78EC" w:rsidP="00940A51">
      <w:pPr>
        <w:pStyle w:val="NoSpacing"/>
        <w:rPr>
          <w:rFonts w:ascii="Times New Roman" w:hAnsi="Times New Roman" w:cs="Times New Roman"/>
          <w:sz w:val="24"/>
          <w:szCs w:val="24"/>
          <w:lang w:val="en-PH"/>
        </w:rPr>
      </w:pPr>
      <w:r>
        <w:rPr>
          <w:rFonts w:ascii="Times New Roman" w:hAnsi="Times New Roman" w:cs="Times New Roman"/>
          <w:b/>
          <w:sz w:val="24"/>
          <w:szCs w:val="24"/>
          <w:lang w:val="en-PH"/>
        </w:rPr>
        <w:t xml:space="preserve">       the EU accession negotiations governed by the </w:t>
      </w:r>
      <w:r w:rsidR="00876911">
        <w:rPr>
          <w:rFonts w:ascii="Times New Roman" w:hAnsi="Times New Roman" w:cs="Times New Roman"/>
          <w:b/>
          <w:sz w:val="24"/>
          <w:szCs w:val="24"/>
          <w:lang w:val="en-PH"/>
        </w:rPr>
        <w:t>2020</w:t>
      </w:r>
      <w:r>
        <w:rPr>
          <w:rFonts w:ascii="Times New Roman" w:hAnsi="Times New Roman" w:cs="Times New Roman"/>
          <w:b/>
          <w:sz w:val="24"/>
          <w:szCs w:val="24"/>
          <w:lang w:val="en-PH"/>
        </w:rPr>
        <w:t xml:space="preserve"> </w:t>
      </w:r>
      <w:r w:rsidR="00876911">
        <w:rPr>
          <w:rFonts w:ascii="Times New Roman" w:hAnsi="Times New Roman" w:cs="Times New Roman"/>
          <w:b/>
          <w:sz w:val="24"/>
          <w:szCs w:val="24"/>
          <w:lang w:val="en-PH"/>
        </w:rPr>
        <w:t>Enlargement Methodology?</w:t>
      </w:r>
    </w:p>
    <w:p w:rsidR="00F808CE" w:rsidRDefault="00F808CE" w:rsidP="00940A51">
      <w:pPr>
        <w:pStyle w:val="NoSpacing"/>
        <w:rPr>
          <w:rFonts w:ascii="Times New Roman" w:hAnsi="Times New Roman" w:cs="Times New Roman"/>
          <w:sz w:val="24"/>
          <w:szCs w:val="24"/>
          <w:lang w:val="en-PH"/>
        </w:rPr>
      </w:pPr>
    </w:p>
    <w:p w:rsidR="00C75C28" w:rsidRDefault="000D1002" w:rsidP="008E7572">
      <w:pPr>
        <w:tabs>
          <w:tab w:val="num" w:pos="720"/>
          <w:tab w:val="num" w:pos="1440"/>
        </w:tabs>
        <w:spacing w:line="240" w:lineRule="atLeast"/>
        <w:jc w:val="both"/>
        <w:rPr>
          <w:rFonts w:ascii="Times New Roman" w:hAnsi="Times New Roman" w:cs="Times New Roman"/>
          <w:sz w:val="24"/>
          <w:szCs w:val="24"/>
          <w:lang w:val="en-PH"/>
        </w:rPr>
      </w:pPr>
      <w:r>
        <w:rPr>
          <w:rFonts w:ascii="Times New Roman" w:hAnsi="Times New Roman" w:cs="Times New Roman"/>
          <w:sz w:val="24"/>
          <w:szCs w:val="24"/>
          <w:lang w:val="en-PH"/>
        </w:rPr>
        <w:t>From a perspective of an EU candidate country, m</w:t>
      </w:r>
      <w:r w:rsidR="00C75C28">
        <w:rPr>
          <w:rFonts w:ascii="Times New Roman" w:hAnsi="Times New Roman" w:cs="Times New Roman"/>
          <w:sz w:val="24"/>
          <w:szCs w:val="24"/>
          <w:lang w:val="en-PH"/>
        </w:rPr>
        <w:t xml:space="preserve">eeting of the Copenhagen economic criteria consists of two components, one is the </w:t>
      </w:r>
      <w:r w:rsidR="00C75C28" w:rsidRPr="00C0772A">
        <w:rPr>
          <w:rFonts w:ascii="Times New Roman" w:hAnsi="Times New Roman" w:cs="Times New Roman"/>
          <w:i/>
          <w:sz w:val="24"/>
          <w:szCs w:val="24"/>
          <w:lang w:val="en-PH"/>
        </w:rPr>
        <w:t>acquis</w:t>
      </w:r>
      <w:r w:rsidR="00C75C28">
        <w:rPr>
          <w:rFonts w:ascii="Times New Roman" w:hAnsi="Times New Roman" w:cs="Times New Roman"/>
          <w:sz w:val="24"/>
          <w:szCs w:val="24"/>
          <w:lang w:val="en-PH"/>
        </w:rPr>
        <w:t xml:space="preserve"> focused and another one is a policy oriented component. The latter one, and this is the one relevant for this Report, goes well beyond the narrowly defined legal approximation with the EU and typically requires strong involvement of the higher levels of economic policy hierarchy. </w:t>
      </w:r>
    </w:p>
    <w:p w:rsidR="008E7572" w:rsidRDefault="00C75C28" w:rsidP="008E7572">
      <w:pPr>
        <w:tabs>
          <w:tab w:val="num" w:pos="720"/>
          <w:tab w:val="num" w:pos="1440"/>
        </w:tabs>
        <w:spacing w:line="240" w:lineRule="atLeast"/>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There is another </w:t>
      </w:r>
      <w:r w:rsidR="008E7572">
        <w:rPr>
          <w:rFonts w:ascii="Times New Roman" w:hAnsi="Times New Roman" w:cs="Times New Roman"/>
          <w:sz w:val="24"/>
          <w:szCs w:val="24"/>
          <w:lang w:val="en-PH"/>
        </w:rPr>
        <w:t xml:space="preserve">reason why the Copenhagen economic criteria deserves special attention </w:t>
      </w:r>
      <w:r w:rsidR="000D1002">
        <w:rPr>
          <w:rFonts w:ascii="Times New Roman" w:hAnsi="Times New Roman" w:cs="Times New Roman"/>
          <w:sz w:val="24"/>
          <w:szCs w:val="24"/>
          <w:lang w:val="en-PH"/>
        </w:rPr>
        <w:t xml:space="preserve">of an EU candidate country </w:t>
      </w:r>
      <w:r w:rsidR="008E7572">
        <w:rPr>
          <w:rFonts w:ascii="Times New Roman" w:hAnsi="Times New Roman" w:cs="Times New Roman"/>
          <w:sz w:val="24"/>
          <w:szCs w:val="24"/>
          <w:lang w:val="en-PH"/>
        </w:rPr>
        <w:t xml:space="preserve">in the forthcoming EU accession negotiations under the new 2020 Enlargement Methodology. </w:t>
      </w:r>
      <w:r>
        <w:rPr>
          <w:rFonts w:ascii="Times New Roman" w:hAnsi="Times New Roman" w:cs="Times New Roman"/>
          <w:sz w:val="24"/>
          <w:szCs w:val="24"/>
          <w:lang w:val="en-MY"/>
        </w:rPr>
        <w:t xml:space="preserve">In contrast to the 5 negotiating chapters that are included into this “fundamentals’ cluster” (judiciary and fundamental rights; justice; freedom and security; public procurement; statistics and financial control), the economic criteria is together with public administration reforms and functioning of democratic institutions a subject that is of a horizontal or cross-cutting character. This very fact means that the economic criteria is not a subject where the progress could be measured with the </w:t>
      </w:r>
      <w:r w:rsidRPr="00C75C28">
        <w:rPr>
          <w:rFonts w:ascii="Times New Roman" w:hAnsi="Times New Roman" w:cs="Times New Roman"/>
          <w:i/>
          <w:sz w:val="24"/>
          <w:szCs w:val="24"/>
          <w:lang w:val="en-MY"/>
        </w:rPr>
        <w:t>acquis</w:t>
      </w:r>
      <w:r>
        <w:rPr>
          <w:rFonts w:ascii="Times New Roman" w:hAnsi="Times New Roman" w:cs="Times New Roman"/>
          <w:sz w:val="24"/>
          <w:szCs w:val="24"/>
          <w:lang w:val="en-MY"/>
        </w:rPr>
        <w:t xml:space="preserve"> harmonization and implementation measurement system, but rather with the economic policy performance, with institutional changes implemented and with the design and implementation of structural reforms. </w:t>
      </w:r>
      <w:r w:rsidR="008E7572">
        <w:rPr>
          <w:rFonts w:ascii="Times New Roman" w:hAnsi="Times New Roman" w:cs="Times New Roman"/>
          <w:sz w:val="24"/>
          <w:szCs w:val="24"/>
          <w:lang w:val="en-PH"/>
        </w:rPr>
        <w:t xml:space="preserve">By becoming an integral part of the “fundamentals’ cluster”, the Copenhagen economic criteria issues have been systemically put into position where they will need to have a regular attention at the highest political level of policy making in the country. </w:t>
      </w:r>
    </w:p>
    <w:p w:rsidR="00B379FE" w:rsidRDefault="008E7572" w:rsidP="00B379FE">
      <w:pPr>
        <w:pStyle w:val="NoSpacing"/>
        <w:jc w:val="both"/>
        <w:rPr>
          <w:rFonts w:ascii="Times New Roman" w:hAnsi="Times New Roman" w:cs="Times New Roman"/>
          <w:sz w:val="24"/>
          <w:szCs w:val="24"/>
          <w:lang w:val="en-TT"/>
        </w:rPr>
      </w:pPr>
      <w:r>
        <w:rPr>
          <w:rFonts w:ascii="Times New Roman" w:hAnsi="Times New Roman" w:cs="Times New Roman"/>
          <w:sz w:val="24"/>
          <w:szCs w:val="24"/>
          <w:lang w:val="en-PH"/>
        </w:rPr>
        <w:t>To adjust to this new EU accession negotiations framework for the Copenhagen economic criteria subject</w:t>
      </w:r>
      <w:r w:rsidR="00B379FE">
        <w:rPr>
          <w:rFonts w:ascii="Times New Roman" w:hAnsi="Times New Roman" w:cs="Times New Roman"/>
          <w:sz w:val="24"/>
          <w:szCs w:val="24"/>
          <w:lang w:val="en-PH"/>
        </w:rPr>
        <w:t xml:space="preserve"> and more broadly for socio-economic development of the country</w:t>
      </w:r>
      <w:r w:rsidR="000D1002">
        <w:rPr>
          <w:rFonts w:ascii="Times New Roman" w:hAnsi="Times New Roman" w:cs="Times New Roman"/>
          <w:sz w:val="24"/>
          <w:szCs w:val="24"/>
          <w:lang w:val="en-PH"/>
        </w:rPr>
        <w:t xml:space="preserve"> in the forthcoming period</w:t>
      </w:r>
      <w:r w:rsidR="00B379FE">
        <w:rPr>
          <w:rFonts w:ascii="Times New Roman" w:hAnsi="Times New Roman" w:cs="Times New Roman"/>
          <w:sz w:val="24"/>
          <w:szCs w:val="24"/>
          <w:lang w:val="en-PH"/>
        </w:rPr>
        <w:t xml:space="preserve">, an EU candidate </w:t>
      </w:r>
      <w:r w:rsidR="000D1002">
        <w:rPr>
          <w:rFonts w:ascii="Times New Roman" w:hAnsi="Times New Roman" w:cs="Times New Roman"/>
          <w:sz w:val="24"/>
          <w:szCs w:val="24"/>
          <w:lang w:val="en-PH"/>
        </w:rPr>
        <w:t xml:space="preserve">country </w:t>
      </w:r>
      <w:r w:rsidR="00B379FE">
        <w:rPr>
          <w:rFonts w:ascii="Times New Roman" w:hAnsi="Times New Roman" w:cs="Times New Roman"/>
          <w:sz w:val="24"/>
          <w:szCs w:val="24"/>
          <w:lang w:val="en-PH"/>
        </w:rPr>
        <w:t xml:space="preserve">will need </w:t>
      </w:r>
      <w:r w:rsidR="000D1002">
        <w:rPr>
          <w:rFonts w:ascii="Times New Roman" w:hAnsi="Times New Roman" w:cs="Times New Roman"/>
          <w:sz w:val="24"/>
          <w:szCs w:val="24"/>
          <w:lang w:val="en-PH"/>
        </w:rPr>
        <w:t xml:space="preserve">to consider designing </w:t>
      </w:r>
      <w:r w:rsidR="00B379FE">
        <w:rPr>
          <w:rFonts w:ascii="Times New Roman" w:hAnsi="Times New Roman" w:cs="Times New Roman"/>
          <w:sz w:val="24"/>
          <w:szCs w:val="24"/>
          <w:lang w:val="en-PH"/>
        </w:rPr>
        <w:t xml:space="preserve">a </w:t>
      </w:r>
      <w:r w:rsidR="00B379FE">
        <w:rPr>
          <w:rFonts w:ascii="Times New Roman" w:hAnsi="Times New Roman" w:cs="Times New Roman"/>
          <w:sz w:val="24"/>
          <w:szCs w:val="24"/>
          <w:lang w:val="en-TT"/>
        </w:rPr>
        <w:t xml:space="preserve">strategic document </w:t>
      </w:r>
      <w:r w:rsidR="00B379FE" w:rsidRPr="002B7197">
        <w:rPr>
          <w:rFonts w:ascii="Times New Roman" w:hAnsi="Times New Roman" w:cs="Times New Roman"/>
          <w:sz w:val="24"/>
          <w:szCs w:val="24"/>
          <w:lang w:val="en-TT"/>
        </w:rPr>
        <w:t xml:space="preserve">providing an overall strategic framework on how </w:t>
      </w:r>
      <w:r w:rsidR="00B379FE">
        <w:rPr>
          <w:rFonts w:ascii="Times New Roman" w:hAnsi="Times New Roman" w:cs="Times New Roman"/>
          <w:sz w:val="24"/>
          <w:szCs w:val="24"/>
          <w:lang w:val="en-TT"/>
        </w:rPr>
        <w:t xml:space="preserve">the country </w:t>
      </w:r>
      <w:r w:rsidR="00B379FE" w:rsidRPr="002B7197">
        <w:rPr>
          <w:rFonts w:ascii="Times New Roman" w:hAnsi="Times New Roman" w:cs="Times New Roman"/>
          <w:sz w:val="24"/>
          <w:szCs w:val="24"/>
          <w:lang w:val="en-TT"/>
        </w:rPr>
        <w:t xml:space="preserve">plans to meet its objectives on </w:t>
      </w:r>
      <w:r w:rsidR="00B379FE">
        <w:rPr>
          <w:rFonts w:ascii="Times New Roman" w:hAnsi="Times New Roman" w:cs="Times New Roman"/>
          <w:sz w:val="24"/>
          <w:szCs w:val="24"/>
          <w:lang w:val="en-TT"/>
        </w:rPr>
        <w:t xml:space="preserve">the </w:t>
      </w:r>
      <w:r w:rsidR="00B379FE" w:rsidRPr="002B7197">
        <w:rPr>
          <w:rFonts w:ascii="Times New Roman" w:hAnsi="Times New Roman" w:cs="Times New Roman"/>
          <w:sz w:val="24"/>
          <w:szCs w:val="24"/>
          <w:lang w:val="en-TT"/>
        </w:rPr>
        <w:t xml:space="preserve">economic </w:t>
      </w:r>
      <w:r w:rsidR="00B379FE">
        <w:rPr>
          <w:rFonts w:ascii="Times New Roman" w:hAnsi="Times New Roman" w:cs="Times New Roman"/>
          <w:sz w:val="24"/>
          <w:szCs w:val="24"/>
          <w:lang w:val="en-TT"/>
        </w:rPr>
        <w:t xml:space="preserve">criteria </w:t>
      </w:r>
      <w:r w:rsidR="00B379FE" w:rsidRPr="002B7197">
        <w:rPr>
          <w:rFonts w:ascii="Times New Roman" w:hAnsi="Times New Roman" w:cs="Times New Roman"/>
          <w:sz w:val="24"/>
          <w:szCs w:val="24"/>
          <w:lang w:val="en-TT"/>
        </w:rPr>
        <w:t>issues in the forthcoming medium-term period.</w:t>
      </w:r>
      <w:r w:rsidR="00B379FE">
        <w:rPr>
          <w:rFonts w:ascii="Times New Roman" w:hAnsi="Times New Roman" w:cs="Times New Roman"/>
          <w:sz w:val="24"/>
          <w:szCs w:val="24"/>
          <w:lang w:val="en-TT"/>
        </w:rPr>
        <w:t xml:space="preserve"> In addition to th</w:t>
      </w:r>
      <w:r w:rsidR="00E65DF6">
        <w:rPr>
          <w:rFonts w:ascii="Times New Roman" w:hAnsi="Times New Roman" w:cs="Times New Roman"/>
          <w:sz w:val="24"/>
          <w:szCs w:val="24"/>
          <w:lang w:val="en-TT"/>
        </w:rPr>
        <w:t xml:space="preserve">is </w:t>
      </w:r>
      <w:r w:rsidR="00B379FE">
        <w:rPr>
          <w:rFonts w:ascii="Times New Roman" w:hAnsi="Times New Roman" w:cs="Times New Roman"/>
          <w:sz w:val="24"/>
          <w:szCs w:val="24"/>
          <w:lang w:val="en-TT"/>
        </w:rPr>
        <w:t>strategic document as a basic pillar for effective EU accession negotiations on the Copenhagen economic criteria subject, there are various supporting ingredients</w:t>
      </w:r>
      <w:r w:rsidR="00E65DF6">
        <w:rPr>
          <w:rFonts w:ascii="Times New Roman" w:hAnsi="Times New Roman" w:cs="Times New Roman"/>
          <w:sz w:val="24"/>
          <w:szCs w:val="24"/>
          <w:lang w:val="en-TT"/>
        </w:rPr>
        <w:t xml:space="preserve">, especially well prepared ERPs, </w:t>
      </w:r>
      <w:r w:rsidR="00B379FE">
        <w:rPr>
          <w:rFonts w:ascii="Times New Roman" w:hAnsi="Times New Roman" w:cs="Times New Roman"/>
          <w:sz w:val="24"/>
          <w:szCs w:val="24"/>
          <w:lang w:val="en-TT"/>
        </w:rPr>
        <w:t>that would strengthen a</w:t>
      </w:r>
      <w:r w:rsidR="00E65DF6">
        <w:rPr>
          <w:rFonts w:ascii="Times New Roman" w:hAnsi="Times New Roman" w:cs="Times New Roman"/>
          <w:sz w:val="24"/>
          <w:szCs w:val="24"/>
          <w:lang w:val="en-TT"/>
        </w:rPr>
        <w:t xml:space="preserve">n EU </w:t>
      </w:r>
      <w:r w:rsidR="00B379FE">
        <w:rPr>
          <w:rFonts w:ascii="Times New Roman" w:hAnsi="Times New Roman" w:cs="Times New Roman"/>
          <w:sz w:val="24"/>
          <w:szCs w:val="24"/>
          <w:lang w:val="en-TT"/>
        </w:rPr>
        <w:t xml:space="preserve">candidate country’s performance on meeting Copenhagen </w:t>
      </w:r>
      <w:r w:rsidR="00B379FE" w:rsidRPr="00FC3767">
        <w:rPr>
          <w:rFonts w:ascii="Times New Roman" w:hAnsi="Times New Roman" w:cs="Times New Roman"/>
          <w:sz w:val="24"/>
          <w:szCs w:val="24"/>
          <w:lang w:val="en-TT"/>
        </w:rPr>
        <w:t xml:space="preserve">economic criteria and on its approximation towards EU / euro-area economic governance organized with the European semester. </w:t>
      </w:r>
    </w:p>
    <w:p w:rsidR="006C0DC8" w:rsidRDefault="006C0DC8" w:rsidP="007947CC">
      <w:pPr>
        <w:tabs>
          <w:tab w:val="num" w:pos="720"/>
          <w:tab w:val="num" w:pos="1440"/>
          <w:tab w:val="left" w:pos="5890"/>
        </w:tabs>
        <w:spacing w:line="240" w:lineRule="auto"/>
        <w:jc w:val="both"/>
        <w:rPr>
          <w:rFonts w:ascii="Times New Roman" w:hAnsi="Times New Roman" w:cs="Times New Roman"/>
          <w:b/>
          <w:sz w:val="28"/>
          <w:szCs w:val="28"/>
          <w:lang w:val="en-MY"/>
        </w:rPr>
      </w:pPr>
    </w:p>
    <w:p w:rsidR="007947CC" w:rsidRDefault="000D30F6" w:rsidP="007947CC">
      <w:pPr>
        <w:tabs>
          <w:tab w:val="num" w:pos="720"/>
          <w:tab w:val="num" w:pos="1440"/>
          <w:tab w:val="left" w:pos="5890"/>
        </w:tabs>
        <w:spacing w:line="240" w:lineRule="auto"/>
        <w:jc w:val="both"/>
        <w:rPr>
          <w:rFonts w:ascii="Times New Roman" w:hAnsi="Times New Roman" w:cs="Times New Roman"/>
          <w:b/>
          <w:sz w:val="28"/>
          <w:szCs w:val="28"/>
          <w:lang w:val="en-MY"/>
        </w:rPr>
      </w:pPr>
      <w:r>
        <w:rPr>
          <w:rFonts w:ascii="Times New Roman" w:hAnsi="Times New Roman" w:cs="Times New Roman"/>
          <w:b/>
          <w:sz w:val="28"/>
          <w:szCs w:val="28"/>
          <w:lang w:val="en-MY"/>
        </w:rPr>
        <w:t xml:space="preserve">V. </w:t>
      </w:r>
      <w:r w:rsidR="00223A4F" w:rsidRPr="00223A4F">
        <w:rPr>
          <w:rFonts w:ascii="Times New Roman" w:hAnsi="Times New Roman" w:cs="Times New Roman"/>
          <w:b/>
          <w:sz w:val="28"/>
          <w:szCs w:val="28"/>
          <w:lang w:val="en-MY"/>
        </w:rPr>
        <w:t>Conclusions and recommendations</w:t>
      </w:r>
      <w:r w:rsidR="00C869ED">
        <w:rPr>
          <w:rStyle w:val="FootnoteReference"/>
          <w:rFonts w:ascii="Times New Roman" w:hAnsi="Times New Roman" w:cs="Times New Roman"/>
          <w:b/>
          <w:sz w:val="28"/>
          <w:szCs w:val="28"/>
          <w:lang w:val="en-MY"/>
        </w:rPr>
        <w:footnoteReference w:id="20"/>
      </w:r>
    </w:p>
    <w:p w:rsidR="007947CC" w:rsidRPr="007947CC" w:rsidRDefault="000D30F6" w:rsidP="007947CC">
      <w:pPr>
        <w:tabs>
          <w:tab w:val="num" w:pos="1440"/>
        </w:tabs>
        <w:spacing w:line="240" w:lineRule="auto"/>
        <w:jc w:val="both"/>
        <w:rPr>
          <w:rFonts w:ascii="Times New Roman" w:hAnsi="Times New Roman" w:cs="Times New Roman"/>
          <w:b/>
          <w:sz w:val="24"/>
          <w:szCs w:val="24"/>
          <w:lang w:val="en-MY"/>
        </w:rPr>
      </w:pPr>
      <w:r>
        <w:rPr>
          <w:rFonts w:ascii="Times New Roman" w:hAnsi="Times New Roman" w:cs="Times New Roman"/>
          <w:b/>
          <w:sz w:val="24"/>
          <w:szCs w:val="24"/>
          <w:lang w:val="en-MY"/>
        </w:rPr>
        <w:t xml:space="preserve">5.1. </w:t>
      </w:r>
      <w:r w:rsidR="007947CC" w:rsidRPr="007947CC">
        <w:rPr>
          <w:rFonts w:ascii="Times New Roman" w:hAnsi="Times New Roman" w:cs="Times New Roman"/>
          <w:b/>
          <w:sz w:val="24"/>
          <w:szCs w:val="24"/>
          <w:lang w:val="en-MY"/>
        </w:rPr>
        <w:t>Conclusions</w:t>
      </w:r>
    </w:p>
    <w:p w:rsidR="00D31E40" w:rsidRPr="00A1069E" w:rsidRDefault="008D365E" w:rsidP="004F7A89">
      <w:pPr>
        <w:pStyle w:val="ListParagraph"/>
        <w:numPr>
          <w:ilvl w:val="0"/>
          <w:numId w:val="26"/>
        </w:numPr>
        <w:tabs>
          <w:tab w:val="num" w:pos="1440"/>
        </w:tabs>
        <w:spacing w:line="240" w:lineRule="auto"/>
        <w:ind w:left="426"/>
        <w:jc w:val="both"/>
        <w:rPr>
          <w:rFonts w:ascii="Times New Roman" w:hAnsi="Times New Roman" w:cs="Times New Roman"/>
          <w:sz w:val="24"/>
          <w:szCs w:val="24"/>
          <w:lang w:val="en-MY"/>
        </w:rPr>
      </w:pPr>
      <w:r w:rsidRPr="00A1069E">
        <w:rPr>
          <w:rFonts w:ascii="Times New Roman" w:hAnsi="Times New Roman" w:cs="Times New Roman"/>
          <w:sz w:val="24"/>
          <w:szCs w:val="24"/>
          <w:lang w:val="en-MY"/>
        </w:rPr>
        <w:t xml:space="preserve">Experiences from previous rounds of </w:t>
      </w:r>
      <w:r w:rsidR="007947CC" w:rsidRPr="00A1069E">
        <w:rPr>
          <w:rFonts w:ascii="Times New Roman" w:hAnsi="Times New Roman" w:cs="Times New Roman"/>
          <w:sz w:val="24"/>
          <w:szCs w:val="24"/>
          <w:lang w:val="en-MY"/>
        </w:rPr>
        <w:t xml:space="preserve">the </w:t>
      </w:r>
      <w:r w:rsidRPr="00A1069E">
        <w:rPr>
          <w:rFonts w:ascii="Times New Roman" w:hAnsi="Times New Roman" w:cs="Times New Roman"/>
          <w:sz w:val="24"/>
          <w:szCs w:val="24"/>
          <w:lang w:val="en-MY"/>
        </w:rPr>
        <w:t xml:space="preserve">EU enlargements </w:t>
      </w:r>
      <w:r w:rsidR="00284559" w:rsidRPr="00A1069E">
        <w:rPr>
          <w:rFonts w:ascii="Times New Roman" w:hAnsi="Times New Roman" w:cs="Times New Roman"/>
          <w:sz w:val="24"/>
          <w:szCs w:val="24"/>
          <w:lang w:val="en-MY"/>
        </w:rPr>
        <w:t xml:space="preserve">clearly indicate </w:t>
      </w:r>
      <w:r w:rsidR="007947CC" w:rsidRPr="00A1069E">
        <w:rPr>
          <w:rFonts w:ascii="Times New Roman" w:hAnsi="Times New Roman" w:cs="Times New Roman"/>
          <w:sz w:val="24"/>
          <w:szCs w:val="24"/>
          <w:lang w:val="en-MY"/>
        </w:rPr>
        <w:t xml:space="preserve">that </w:t>
      </w:r>
      <w:r w:rsidR="00284559" w:rsidRPr="00A1069E">
        <w:rPr>
          <w:rFonts w:ascii="Times New Roman" w:hAnsi="Times New Roman" w:cs="Times New Roman"/>
          <w:sz w:val="24"/>
          <w:szCs w:val="24"/>
          <w:lang w:val="en-MY"/>
        </w:rPr>
        <w:t xml:space="preserve">the </w:t>
      </w:r>
      <w:r w:rsidR="007947CC" w:rsidRPr="00A1069E">
        <w:rPr>
          <w:rFonts w:ascii="Times New Roman" w:hAnsi="Times New Roman" w:cs="Times New Roman"/>
          <w:sz w:val="24"/>
          <w:szCs w:val="24"/>
          <w:lang w:val="en-MY"/>
        </w:rPr>
        <w:t>EU accession agenda, both in terms of substance and processes, strongly influence</w:t>
      </w:r>
      <w:r w:rsidR="00284559" w:rsidRPr="00A1069E">
        <w:rPr>
          <w:rFonts w:ascii="Times New Roman" w:hAnsi="Times New Roman" w:cs="Times New Roman"/>
          <w:sz w:val="24"/>
          <w:szCs w:val="24"/>
          <w:lang w:val="en-MY"/>
        </w:rPr>
        <w:t>s</w:t>
      </w:r>
      <w:r w:rsidR="007947CC" w:rsidRPr="00A1069E">
        <w:rPr>
          <w:rFonts w:ascii="Times New Roman" w:hAnsi="Times New Roman" w:cs="Times New Roman"/>
          <w:sz w:val="24"/>
          <w:szCs w:val="24"/>
          <w:lang w:val="en-MY"/>
        </w:rPr>
        <w:t xml:space="preserve"> if not d</w:t>
      </w:r>
      <w:r w:rsidR="00D31E40" w:rsidRPr="00A1069E">
        <w:rPr>
          <w:rFonts w:ascii="Times New Roman" w:hAnsi="Times New Roman" w:cs="Times New Roman"/>
          <w:sz w:val="24"/>
          <w:szCs w:val="24"/>
          <w:lang w:val="en-MY"/>
        </w:rPr>
        <w:t xml:space="preserve">etermines </w:t>
      </w:r>
      <w:r w:rsidR="007947CC" w:rsidRPr="00A1069E">
        <w:rPr>
          <w:rFonts w:ascii="Times New Roman" w:hAnsi="Times New Roman" w:cs="Times New Roman"/>
          <w:sz w:val="24"/>
          <w:szCs w:val="24"/>
          <w:lang w:val="en-MY"/>
        </w:rPr>
        <w:t xml:space="preserve">the socio-economic agenda of the </w:t>
      </w:r>
      <w:r w:rsidR="00284559" w:rsidRPr="00A1069E">
        <w:rPr>
          <w:rFonts w:ascii="Times New Roman" w:hAnsi="Times New Roman" w:cs="Times New Roman"/>
          <w:sz w:val="24"/>
          <w:szCs w:val="24"/>
          <w:lang w:val="en-MY"/>
        </w:rPr>
        <w:t xml:space="preserve">acceding </w:t>
      </w:r>
      <w:r w:rsidR="007947CC" w:rsidRPr="00A1069E">
        <w:rPr>
          <w:rFonts w:ascii="Times New Roman" w:hAnsi="Times New Roman" w:cs="Times New Roman"/>
          <w:sz w:val="24"/>
          <w:szCs w:val="24"/>
          <w:lang w:val="en-MY"/>
        </w:rPr>
        <w:t xml:space="preserve">country during </w:t>
      </w:r>
      <w:r w:rsidR="00265693" w:rsidRPr="00A1069E">
        <w:rPr>
          <w:rFonts w:ascii="Times New Roman" w:hAnsi="Times New Roman" w:cs="Times New Roman"/>
          <w:sz w:val="24"/>
          <w:szCs w:val="24"/>
          <w:lang w:val="en-MY"/>
        </w:rPr>
        <w:t xml:space="preserve">the period of </w:t>
      </w:r>
      <w:r w:rsidR="00284559" w:rsidRPr="00A1069E">
        <w:rPr>
          <w:rFonts w:ascii="Times New Roman" w:hAnsi="Times New Roman" w:cs="Times New Roman"/>
          <w:sz w:val="24"/>
          <w:szCs w:val="24"/>
          <w:lang w:val="en-MY"/>
        </w:rPr>
        <w:t xml:space="preserve">its </w:t>
      </w:r>
      <w:r w:rsidR="007947CC" w:rsidRPr="00A1069E">
        <w:rPr>
          <w:rFonts w:ascii="Times New Roman" w:hAnsi="Times New Roman" w:cs="Times New Roman"/>
          <w:sz w:val="24"/>
          <w:szCs w:val="24"/>
          <w:lang w:val="en-MY"/>
        </w:rPr>
        <w:t xml:space="preserve">EU accession negotiations. The </w:t>
      </w:r>
      <w:r w:rsidR="00B75FB6" w:rsidRPr="00A1069E">
        <w:rPr>
          <w:rFonts w:ascii="Times New Roman" w:hAnsi="Times New Roman" w:cs="Times New Roman"/>
          <w:sz w:val="24"/>
          <w:szCs w:val="24"/>
          <w:lang w:val="en-MY"/>
        </w:rPr>
        <w:t xml:space="preserve">2020 </w:t>
      </w:r>
      <w:r w:rsidR="007947CC" w:rsidRPr="00A1069E">
        <w:rPr>
          <w:rFonts w:ascii="Times New Roman" w:hAnsi="Times New Roman" w:cs="Times New Roman"/>
          <w:sz w:val="24"/>
          <w:szCs w:val="24"/>
          <w:lang w:val="en-MY"/>
        </w:rPr>
        <w:t xml:space="preserve">Enlargement Methodology </w:t>
      </w:r>
      <w:r w:rsidR="00B75FB6" w:rsidRPr="00A1069E">
        <w:rPr>
          <w:rFonts w:ascii="Times New Roman" w:hAnsi="Times New Roman" w:cs="Times New Roman"/>
          <w:sz w:val="24"/>
          <w:szCs w:val="24"/>
          <w:lang w:val="en-MY"/>
        </w:rPr>
        <w:t xml:space="preserve">of the EU </w:t>
      </w:r>
      <w:r w:rsidR="00284559" w:rsidRPr="00A1069E">
        <w:rPr>
          <w:rFonts w:ascii="Times New Roman" w:hAnsi="Times New Roman" w:cs="Times New Roman"/>
          <w:sz w:val="24"/>
          <w:szCs w:val="24"/>
          <w:lang w:val="en-MY"/>
        </w:rPr>
        <w:t>introducing the “clusters</w:t>
      </w:r>
      <w:r w:rsidR="00511C8D" w:rsidRPr="00A1069E">
        <w:rPr>
          <w:rFonts w:ascii="Times New Roman" w:hAnsi="Times New Roman" w:cs="Times New Roman"/>
          <w:sz w:val="24"/>
          <w:szCs w:val="24"/>
          <w:lang w:val="en-MY"/>
        </w:rPr>
        <w:t>”</w:t>
      </w:r>
      <w:r w:rsidR="00284559" w:rsidRPr="00A1069E">
        <w:rPr>
          <w:rFonts w:ascii="Times New Roman" w:hAnsi="Times New Roman" w:cs="Times New Roman"/>
          <w:sz w:val="24"/>
          <w:szCs w:val="24"/>
          <w:lang w:val="en-MY"/>
        </w:rPr>
        <w:t xml:space="preserve"> logic with the “fundamentals</w:t>
      </w:r>
      <w:r w:rsidR="00511C8D" w:rsidRPr="00A1069E">
        <w:rPr>
          <w:rFonts w:ascii="Times New Roman" w:hAnsi="Times New Roman" w:cs="Times New Roman"/>
          <w:sz w:val="24"/>
          <w:szCs w:val="24"/>
          <w:lang w:val="en-MY"/>
        </w:rPr>
        <w:t>’</w:t>
      </w:r>
      <w:r w:rsidR="00284559" w:rsidRPr="00A1069E">
        <w:rPr>
          <w:rFonts w:ascii="Times New Roman" w:hAnsi="Times New Roman" w:cs="Times New Roman"/>
          <w:sz w:val="24"/>
          <w:szCs w:val="24"/>
          <w:lang w:val="en-MY"/>
        </w:rPr>
        <w:t xml:space="preserve"> cluster” as its backbone is </w:t>
      </w:r>
      <w:r w:rsidR="007947CC" w:rsidRPr="00A1069E">
        <w:rPr>
          <w:rFonts w:ascii="Times New Roman" w:hAnsi="Times New Roman" w:cs="Times New Roman"/>
          <w:sz w:val="24"/>
          <w:szCs w:val="24"/>
          <w:lang w:val="en-MY"/>
        </w:rPr>
        <w:t xml:space="preserve">designed in a way </w:t>
      </w:r>
      <w:r w:rsidR="000800E5" w:rsidRPr="00A1069E">
        <w:rPr>
          <w:rFonts w:ascii="Times New Roman" w:hAnsi="Times New Roman" w:cs="Times New Roman"/>
          <w:sz w:val="24"/>
          <w:szCs w:val="24"/>
          <w:lang w:val="en-MY"/>
        </w:rPr>
        <w:t xml:space="preserve">to sharpen this focus even </w:t>
      </w:r>
      <w:r w:rsidR="007947CC" w:rsidRPr="00A1069E">
        <w:rPr>
          <w:rFonts w:ascii="Times New Roman" w:hAnsi="Times New Roman" w:cs="Times New Roman"/>
          <w:sz w:val="24"/>
          <w:szCs w:val="24"/>
          <w:lang w:val="en-MY"/>
        </w:rPr>
        <w:t>further</w:t>
      </w:r>
      <w:r w:rsidR="000800E5" w:rsidRPr="00A1069E">
        <w:rPr>
          <w:rFonts w:ascii="Times New Roman" w:hAnsi="Times New Roman" w:cs="Times New Roman"/>
          <w:sz w:val="24"/>
          <w:szCs w:val="24"/>
          <w:lang w:val="en-MY"/>
        </w:rPr>
        <w:t>.</w:t>
      </w:r>
      <w:r w:rsidR="00D31E40" w:rsidRPr="00A1069E">
        <w:rPr>
          <w:rFonts w:ascii="Times New Roman" w:hAnsi="Times New Roman" w:cs="Times New Roman"/>
          <w:sz w:val="24"/>
          <w:szCs w:val="24"/>
          <w:lang w:val="en-MY"/>
        </w:rPr>
        <w:t xml:space="preserve"> </w:t>
      </w:r>
      <w:r w:rsidR="005050E9" w:rsidRPr="00A1069E">
        <w:rPr>
          <w:rFonts w:ascii="Times New Roman" w:hAnsi="Times New Roman" w:cs="Times New Roman"/>
          <w:sz w:val="24"/>
          <w:szCs w:val="24"/>
          <w:lang w:val="en-MY"/>
        </w:rPr>
        <w:t xml:space="preserve">North Macedonia’s performance on </w:t>
      </w:r>
      <w:r w:rsidR="00D31E40" w:rsidRPr="00A1069E">
        <w:rPr>
          <w:rFonts w:ascii="Times New Roman" w:hAnsi="Times New Roman" w:cs="Times New Roman"/>
          <w:sz w:val="24"/>
          <w:szCs w:val="24"/>
          <w:lang w:val="en-MY"/>
        </w:rPr>
        <w:t xml:space="preserve">the </w:t>
      </w:r>
      <w:r w:rsidR="005050E9" w:rsidRPr="00A1069E">
        <w:rPr>
          <w:rFonts w:ascii="Times New Roman" w:hAnsi="Times New Roman" w:cs="Times New Roman"/>
          <w:sz w:val="24"/>
          <w:szCs w:val="24"/>
          <w:lang w:val="en-MY"/>
        </w:rPr>
        <w:t xml:space="preserve">Copenhagen economic criteria will </w:t>
      </w:r>
      <w:r w:rsidR="00D31E40" w:rsidRPr="00A1069E">
        <w:rPr>
          <w:rFonts w:ascii="Times New Roman" w:hAnsi="Times New Roman" w:cs="Times New Roman"/>
          <w:sz w:val="24"/>
          <w:szCs w:val="24"/>
          <w:lang w:val="en-MY"/>
        </w:rPr>
        <w:t xml:space="preserve">therefore </w:t>
      </w:r>
      <w:r w:rsidR="005050E9" w:rsidRPr="00A1069E">
        <w:rPr>
          <w:rFonts w:ascii="Times New Roman" w:hAnsi="Times New Roman" w:cs="Times New Roman"/>
          <w:sz w:val="24"/>
          <w:szCs w:val="24"/>
          <w:lang w:val="en-MY"/>
        </w:rPr>
        <w:t xml:space="preserve">be </w:t>
      </w:r>
      <w:r w:rsidR="002C1063">
        <w:rPr>
          <w:rFonts w:ascii="Times New Roman" w:hAnsi="Times New Roman" w:cs="Times New Roman"/>
          <w:sz w:val="24"/>
          <w:szCs w:val="24"/>
          <w:lang w:val="en-MY"/>
        </w:rPr>
        <w:t xml:space="preserve">of significantly </w:t>
      </w:r>
      <w:r w:rsidR="00A1069E">
        <w:rPr>
          <w:rFonts w:ascii="Times New Roman" w:hAnsi="Times New Roman" w:cs="Times New Roman"/>
          <w:sz w:val="24"/>
          <w:szCs w:val="24"/>
          <w:lang w:val="en-MY"/>
        </w:rPr>
        <w:t>high</w:t>
      </w:r>
      <w:r w:rsidR="002C1063">
        <w:rPr>
          <w:rFonts w:ascii="Times New Roman" w:hAnsi="Times New Roman" w:cs="Times New Roman"/>
          <w:sz w:val="24"/>
          <w:szCs w:val="24"/>
          <w:lang w:val="en-MY"/>
        </w:rPr>
        <w:t>er</w:t>
      </w:r>
      <w:r w:rsidR="00A1069E">
        <w:rPr>
          <w:rFonts w:ascii="Times New Roman" w:hAnsi="Times New Roman" w:cs="Times New Roman"/>
          <w:sz w:val="24"/>
          <w:szCs w:val="24"/>
          <w:lang w:val="en-MY"/>
        </w:rPr>
        <w:t xml:space="preserve"> importance for </w:t>
      </w:r>
      <w:r w:rsidR="006C0DC8">
        <w:rPr>
          <w:rFonts w:ascii="Times New Roman" w:hAnsi="Times New Roman" w:cs="Times New Roman"/>
          <w:sz w:val="24"/>
          <w:szCs w:val="24"/>
          <w:lang w:val="en-MY"/>
        </w:rPr>
        <w:t xml:space="preserve">the </w:t>
      </w:r>
      <w:r w:rsidR="005050E9" w:rsidRPr="00A1069E">
        <w:rPr>
          <w:rFonts w:ascii="Times New Roman" w:hAnsi="Times New Roman" w:cs="Times New Roman"/>
          <w:sz w:val="24"/>
          <w:szCs w:val="24"/>
          <w:lang w:val="en-MY"/>
        </w:rPr>
        <w:t xml:space="preserve">overall </w:t>
      </w:r>
      <w:r w:rsidR="002C1063">
        <w:rPr>
          <w:rFonts w:ascii="Times New Roman" w:hAnsi="Times New Roman" w:cs="Times New Roman"/>
          <w:sz w:val="24"/>
          <w:szCs w:val="24"/>
          <w:lang w:val="en-MY"/>
        </w:rPr>
        <w:t xml:space="preserve">EU accession </w:t>
      </w:r>
      <w:r w:rsidR="00A1069E">
        <w:rPr>
          <w:rFonts w:ascii="Times New Roman" w:hAnsi="Times New Roman" w:cs="Times New Roman"/>
          <w:sz w:val="24"/>
          <w:szCs w:val="24"/>
          <w:lang w:val="en-MY"/>
        </w:rPr>
        <w:t xml:space="preserve">process </w:t>
      </w:r>
      <w:r w:rsidR="002C1063">
        <w:rPr>
          <w:rFonts w:ascii="Times New Roman" w:hAnsi="Times New Roman" w:cs="Times New Roman"/>
          <w:sz w:val="24"/>
          <w:szCs w:val="24"/>
          <w:lang w:val="en-MY"/>
        </w:rPr>
        <w:t>than this was the case so far</w:t>
      </w:r>
      <w:r w:rsidR="005050E9" w:rsidRPr="00A1069E">
        <w:rPr>
          <w:rFonts w:ascii="Times New Roman" w:hAnsi="Times New Roman" w:cs="Times New Roman"/>
          <w:sz w:val="24"/>
          <w:szCs w:val="24"/>
          <w:lang w:val="en-MY"/>
        </w:rPr>
        <w:t xml:space="preserve">. </w:t>
      </w:r>
    </w:p>
    <w:p w:rsidR="00547144" w:rsidRDefault="009C2DA0" w:rsidP="009C2DA0">
      <w:pPr>
        <w:pStyle w:val="ListParagraph"/>
        <w:numPr>
          <w:ilvl w:val="0"/>
          <w:numId w:val="26"/>
        </w:numPr>
        <w:tabs>
          <w:tab w:val="num" w:pos="1440"/>
        </w:tabs>
        <w:spacing w:line="240" w:lineRule="auto"/>
        <w:ind w:left="426"/>
        <w:jc w:val="both"/>
        <w:rPr>
          <w:rFonts w:ascii="Times New Roman" w:hAnsi="Times New Roman" w:cs="Times New Roman"/>
          <w:sz w:val="24"/>
          <w:szCs w:val="24"/>
          <w:lang w:val="en-PH"/>
        </w:rPr>
      </w:pPr>
      <w:r w:rsidRPr="009C2DA0">
        <w:rPr>
          <w:rFonts w:ascii="Times New Roman" w:hAnsi="Times New Roman" w:cs="Times New Roman"/>
          <w:sz w:val="24"/>
          <w:szCs w:val="24"/>
          <w:lang w:val="en-PH"/>
        </w:rPr>
        <w:lastRenderedPageBreak/>
        <w:t xml:space="preserve">As the overall logic of the Copenhagen economic criteria is anchored in the economic, social and environmental pillars of a sustainable development, the progress of an EU candidate country on its path towards meeting the criteria reflects the country’s efforts to implement its socio-economic development in a sustainable manner and in accordance with the new EU sustainable development strategy based on climate neutrality and digital modernization being in line with the global </w:t>
      </w:r>
      <w:r w:rsidRPr="009C2DA0">
        <w:rPr>
          <w:rFonts w:ascii="Times New Roman" w:hAnsi="Times New Roman" w:cs="Times New Roman"/>
          <w:i/>
          <w:sz w:val="24"/>
          <w:szCs w:val="24"/>
          <w:lang w:val="en-PH"/>
        </w:rPr>
        <w:t xml:space="preserve">Agenda </w:t>
      </w:r>
      <w:r w:rsidRPr="009C2DA0">
        <w:rPr>
          <w:rFonts w:ascii="Times New Roman" w:hAnsi="Times New Roman" w:cs="Times New Roman"/>
          <w:i/>
          <w:color w:val="2A2A2A"/>
          <w:sz w:val="24"/>
          <w:szCs w:val="24"/>
          <w:shd w:val="clear" w:color="auto" w:fill="FFFFFF"/>
          <w:lang w:val="en-US"/>
        </w:rPr>
        <w:t>2030.</w:t>
      </w:r>
      <w:r>
        <w:rPr>
          <w:rFonts w:ascii="Times New Roman" w:hAnsi="Times New Roman" w:cs="Times New Roman"/>
          <w:i/>
          <w:color w:val="2A2A2A"/>
          <w:sz w:val="24"/>
          <w:szCs w:val="24"/>
          <w:shd w:val="clear" w:color="auto" w:fill="FFFFFF"/>
          <w:lang w:val="en-US"/>
        </w:rPr>
        <w:t xml:space="preserve"> </w:t>
      </w:r>
      <w:r w:rsidRPr="009C2DA0">
        <w:rPr>
          <w:rFonts w:ascii="Times New Roman" w:hAnsi="Times New Roman" w:cs="Times New Roman"/>
          <w:sz w:val="24"/>
          <w:szCs w:val="24"/>
          <w:lang w:val="en-PH"/>
        </w:rPr>
        <w:t>The substance and the process of meeting the Copenhagen economic criteria are therefore in conceptual terms consistent with the sustainable development goals orientation of the NDS 2021-2041.</w:t>
      </w:r>
    </w:p>
    <w:p w:rsidR="009C2DA0" w:rsidRPr="00547144" w:rsidRDefault="009C2DA0" w:rsidP="00547144">
      <w:pPr>
        <w:tabs>
          <w:tab w:val="num" w:pos="1440"/>
        </w:tabs>
        <w:spacing w:line="240" w:lineRule="auto"/>
        <w:jc w:val="both"/>
        <w:rPr>
          <w:rFonts w:ascii="Times New Roman" w:hAnsi="Times New Roman" w:cs="Times New Roman"/>
          <w:sz w:val="24"/>
          <w:szCs w:val="24"/>
          <w:lang w:val="en-PH"/>
        </w:rPr>
      </w:pPr>
      <w:r w:rsidRPr="00547144">
        <w:rPr>
          <w:rFonts w:ascii="Times New Roman" w:hAnsi="Times New Roman" w:cs="Times New Roman"/>
          <w:sz w:val="24"/>
          <w:szCs w:val="24"/>
          <w:lang w:val="en-PH"/>
        </w:rPr>
        <w:t xml:space="preserve"> </w:t>
      </w:r>
    </w:p>
    <w:p w:rsidR="00223A4F" w:rsidRPr="000D30F6" w:rsidRDefault="000D30F6" w:rsidP="00B276F5">
      <w:pPr>
        <w:tabs>
          <w:tab w:val="num" w:pos="720"/>
          <w:tab w:val="num" w:pos="1440"/>
        </w:tabs>
        <w:spacing w:line="240" w:lineRule="auto"/>
        <w:jc w:val="both"/>
        <w:rPr>
          <w:rFonts w:ascii="Times New Roman" w:hAnsi="Times New Roman" w:cs="Times New Roman"/>
          <w:b/>
          <w:sz w:val="24"/>
          <w:szCs w:val="24"/>
          <w:lang w:val="en-MY"/>
        </w:rPr>
      </w:pPr>
      <w:r w:rsidRPr="000D30F6">
        <w:rPr>
          <w:rFonts w:ascii="Times New Roman" w:hAnsi="Times New Roman" w:cs="Times New Roman"/>
          <w:b/>
          <w:sz w:val="24"/>
          <w:szCs w:val="24"/>
          <w:lang w:val="en-MY"/>
        </w:rPr>
        <w:t xml:space="preserve">5.2. </w:t>
      </w:r>
      <w:r w:rsidR="00564AA4" w:rsidRPr="000D30F6">
        <w:rPr>
          <w:rFonts w:ascii="Times New Roman" w:hAnsi="Times New Roman" w:cs="Times New Roman"/>
          <w:b/>
          <w:sz w:val="24"/>
          <w:szCs w:val="24"/>
          <w:lang w:val="en-MY"/>
        </w:rPr>
        <w:t>Recommendations</w:t>
      </w:r>
    </w:p>
    <w:p w:rsidR="00DD5CA4" w:rsidRPr="00E44B0A" w:rsidRDefault="00DD5CA4" w:rsidP="00DD5CA4">
      <w:pPr>
        <w:pStyle w:val="ListParagraph"/>
        <w:numPr>
          <w:ilvl w:val="0"/>
          <w:numId w:val="28"/>
        </w:numPr>
        <w:spacing w:line="240" w:lineRule="auto"/>
        <w:ind w:left="426"/>
        <w:jc w:val="both"/>
        <w:rPr>
          <w:rFonts w:ascii="Times New Roman" w:hAnsi="Times New Roman" w:cs="Times New Roman"/>
          <w:sz w:val="24"/>
          <w:szCs w:val="24"/>
          <w:lang w:val="en-MY"/>
        </w:rPr>
      </w:pPr>
      <w:r w:rsidRPr="00E44B0A">
        <w:rPr>
          <w:rFonts w:ascii="Times New Roman" w:hAnsi="Times New Roman" w:cs="Times New Roman"/>
          <w:sz w:val="24"/>
          <w:szCs w:val="24"/>
          <w:lang w:val="en-MY"/>
        </w:rPr>
        <w:t xml:space="preserve">In circumstances where North Macedonia’s performance on the Copenhagen economic criteria as an integral part of the “fundamentals’ cluster” will be instrumental for setting the overall tempo of the forthcoming EU accession negotiations, the authorities are advised to conceptualize the NDS 2021-2041 objectives and policy instruments for its implementation in full accordance with the country’s path towards meeting this criteria. In case North Macedonia will </w:t>
      </w:r>
      <w:r w:rsidR="00A34FDC">
        <w:rPr>
          <w:rFonts w:ascii="Times New Roman" w:hAnsi="Times New Roman" w:cs="Times New Roman"/>
          <w:sz w:val="24"/>
          <w:szCs w:val="24"/>
          <w:lang w:val="en-MY"/>
        </w:rPr>
        <w:t xml:space="preserve">decide to </w:t>
      </w:r>
      <w:r w:rsidRPr="00E44B0A">
        <w:rPr>
          <w:rFonts w:ascii="Times New Roman" w:hAnsi="Times New Roman" w:cs="Times New Roman"/>
          <w:sz w:val="24"/>
          <w:szCs w:val="24"/>
          <w:lang w:val="en-PH"/>
        </w:rPr>
        <w:t xml:space="preserve">design a </w:t>
      </w:r>
      <w:r w:rsidRPr="00E44B0A">
        <w:rPr>
          <w:rFonts w:ascii="Times New Roman" w:hAnsi="Times New Roman" w:cs="Times New Roman"/>
          <w:sz w:val="24"/>
          <w:szCs w:val="24"/>
          <w:lang w:val="en-TT"/>
        </w:rPr>
        <w:t>strategic document providing an overall strategic framework on how the country plans to meet its objectives on the Copenhagen economic criteria issues in the forthcoming medium-term period, this document should be fu</w:t>
      </w:r>
      <w:r w:rsidR="00E44B0A" w:rsidRPr="00E44B0A">
        <w:rPr>
          <w:rFonts w:ascii="Times New Roman" w:hAnsi="Times New Roman" w:cs="Times New Roman"/>
          <w:sz w:val="24"/>
          <w:szCs w:val="24"/>
          <w:lang w:val="en-TT"/>
        </w:rPr>
        <w:t>lly consistent with the NDS 2021-2041.</w:t>
      </w:r>
      <w:r w:rsidRPr="00E44B0A">
        <w:rPr>
          <w:rFonts w:ascii="Times New Roman" w:hAnsi="Times New Roman" w:cs="Times New Roman"/>
          <w:sz w:val="24"/>
          <w:szCs w:val="24"/>
          <w:lang w:val="en-TT"/>
        </w:rPr>
        <w:t xml:space="preserve"> </w:t>
      </w:r>
    </w:p>
    <w:p w:rsidR="00DD5CA4" w:rsidRPr="00E44B0A" w:rsidRDefault="00DD5CA4" w:rsidP="00DD5CA4">
      <w:pPr>
        <w:pStyle w:val="ListParagraph"/>
        <w:numPr>
          <w:ilvl w:val="0"/>
          <w:numId w:val="28"/>
        </w:numPr>
        <w:spacing w:line="240" w:lineRule="atLeast"/>
        <w:ind w:left="420"/>
        <w:jc w:val="both"/>
        <w:rPr>
          <w:sz w:val="24"/>
          <w:szCs w:val="24"/>
          <w:lang w:val="en-PH"/>
        </w:rPr>
      </w:pPr>
      <w:r w:rsidRPr="006C0DC8">
        <w:rPr>
          <w:rFonts w:ascii="Times New Roman" w:hAnsi="Times New Roman" w:cs="Times New Roman"/>
          <w:sz w:val="24"/>
          <w:szCs w:val="24"/>
          <w:lang w:val="en-PH"/>
        </w:rPr>
        <w:t>While macro-financial stability, it consists of stable macro-economic framework and well performing financial sector, is of crucial importance for meeting the first part of the Copenhagen economic criteria (</w:t>
      </w:r>
      <w:r w:rsidRPr="006C0DC8">
        <w:rPr>
          <w:rFonts w:ascii="Times New Roman" w:hAnsi="Times New Roman" w:cs="Times New Roman"/>
          <w:bCs/>
          <w:color w:val="0C000F"/>
          <w:sz w:val="24"/>
          <w:szCs w:val="24"/>
          <w:shd w:val="clear" w:color="auto" w:fill="FFFFFF"/>
          <w:lang w:val="en-PH"/>
        </w:rPr>
        <w:t xml:space="preserve">a functioning market economy), structural reforms in various segments horizontally based on dual green an digital transformation </w:t>
      </w:r>
      <w:r w:rsidRPr="006C0DC8">
        <w:rPr>
          <w:rFonts w:ascii="Times New Roman" w:hAnsi="Times New Roman" w:cs="Times New Roman"/>
          <w:color w:val="0C000F"/>
          <w:sz w:val="24"/>
          <w:szCs w:val="24"/>
          <w:shd w:val="clear" w:color="auto" w:fill="FFFFFF"/>
          <w:lang w:val="en-PH"/>
        </w:rPr>
        <w:t>are instrumental for achieving the second one (</w:t>
      </w:r>
      <w:r w:rsidRPr="006C0DC8">
        <w:rPr>
          <w:rFonts w:ascii="Times New Roman" w:hAnsi="Times New Roman" w:cs="Times New Roman"/>
          <w:bCs/>
          <w:color w:val="0C000F"/>
          <w:sz w:val="24"/>
          <w:szCs w:val="24"/>
          <w:shd w:val="clear" w:color="auto" w:fill="FFFFFF"/>
          <w:lang w:val="en-PH"/>
        </w:rPr>
        <w:t xml:space="preserve">the capacity to withstand competitive pressure inside the EU single market). </w:t>
      </w:r>
      <w:r w:rsidR="006C0DC8" w:rsidRPr="006C0DC8">
        <w:rPr>
          <w:rFonts w:ascii="Times New Roman" w:hAnsi="Times New Roman" w:cs="Times New Roman"/>
          <w:bCs/>
          <w:color w:val="0C000F"/>
          <w:sz w:val="24"/>
          <w:szCs w:val="24"/>
          <w:shd w:val="clear" w:color="auto" w:fill="FFFFFF"/>
          <w:lang w:val="en-PH"/>
        </w:rPr>
        <w:t xml:space="preserve">The substance of </w:t>
      </w:r>
      <w:r w:rsidR="00BA13D5">
        <w:rPr>
          <w:rFonts w:ascii="Times New Roman" w:hAnsi="Times New Roman" w:cs="Times New Roman"/>
          <w:bCs/>
          <w:color w:val="0C000F"/>
          <w:sz w:val="24"/>
          <w:szCs w:val="24"/>
          <w:shd w:val="clear" w:color="auto" w:fill="FFFFFF"/>
          <w:lang w:val="en-PH"/>
        </w:rPr>
        <w:t xml:space="preserve">the </w:t>
      </w:r>
      <w:r w:rsidR="006C0DC8" w:rsidRPr="006C0DC8">
        <w:rPr>
          <w:rFonts w:ascii="Times New Roman" w:hAnsi="Times New Roman" w:cs="Times New Roman"/>
          <w:bCs/>
          <w:color w:val="0C000F"/>
          <w:sz w:val="24"/>
          <w:szCs w:val="24"/>
          <w:shd w:val="clear" w:color="auto" w:fill="FFFFFF"/>
          <w:lang w:val="en-PH"/>
        </w:rPr>
        <w:t xml:space="preserve">Copenhagen economic criteria </w:t>
      </w:r>
      <w:r w:rsidR="00BA13D5">
        <w:rPr>
          <w:rFonts w:ascii="Times New Roman" w:hAnsi="Times New Roman" w:cs="Times New Roman"/>
          <w:bCs/>
          <w:color w:val="0C000F"/>
          <w:sz w:val="24"/>
          <w:szCs w:val="24"/>
          <w:shd w:val="clear" w:color="auto" w:fill="FFFFFF"/>
          <w:lang w:val="en-PH"/>
        </w:rPr>
        <w:t xml:space="preserve">based on these </w:t>
      </w:r>
      <w:r w:rsidR="006C0DC8">
        <w:rPr>
          <w:rFonts w:ascii="Times New Roman" w:hAnsi="Times New Roman" w:cs="Times New Roman"/>
          <w:bCs/>
          <w:color w:val="0C000F"/>
          <w:sz w:val="24"/>
          <w:szCs w:val="24"/>
          <w:shd w:val="clear" w:color="auto" w:fill="FFFFFF"/>
          <w:lang w:val="en-PH"/>
        </w:rPr>
        <w:t>two pillar</w:t>
      </w:r>
      <w:r w:rsidR="00BA13D5">
        <w:rPr>
          <w:rFonts w:ascii="Times New Roman" w:hAnsi="Times New Roman" w:cs="Times New Roman"/>
          <w:bCs/>
          <w:color w:val="0C000F"/>
          <w:sz w:val="24"/>
          <w:szCs w:val="24"/>
          <w:shd w:val="clear" w:color="auto" w:fill="FFFFFF"/>
          <w:lang w:val="en-PH"/>
        </w:rPr>
        <w:t xml:space="preserve">s may be </w:t>
      </w:r>
      <w:r w:rsidRPr="006C0DC8">
        <w:rPr>
          <w:rFonts w:ascii="Times New Roman" w:hAnsi="Times New Roman" w:cs="Times New Roman"/>
          <w:bCs/>
          <w:color w:val="0C000F"/>
          <w:sz w:val="24"/>
          <w:szCs w:val="24"/>
          <w:shd w:val="clear" w:color="auto" w:fill="FFFFFF"/>
          <w:lang w:val="en-PH"/>
        </w:rPr>
        <w:t>considered by the authorities as an input for the NDS 2021-2041</w:t>
      </w:r>
      <w:r w:rsidRPr="00E44B0A">
        <w:rPr>
          <w:rFonts w:ascii="Times New Roman" w:hAnsi="Times New Roman" w:cs="Times New Roman"/>
          <w:bCs/>
          <w:color w:val="0C000F"/>
          <w:sz w:val="24"/>
          <w:szCs w:val="24"/>
          <w:shd w:val="clear" w:color="auto" w:fill="FFFFFF"/>
          <w:lang w:val="en-PH"/>
        </w:rPr>
        <w:t xml:space="preserve"> conceptualization.  </w:t>
      </w:r>
    </w:p>
    <w:p w:rsidR="00DD5CA4" w:rsidRPr="00E44B0A" w:rsidRDefault="000C24D5" w:rsidP="00221AFD">
      <w:pPr>
        <w:pStyle w:val="ListParagraph"/>
        <w:numPr>
          <w:ilvl w:val="0"/>
          <w:numId w:val="28"/>
        </w:numPr>
        <w:spacing w:line="240" w:lineRule="auto"/>
        <w:ind w:left="426"/>
        <w:jc w:val="both"/>
        <w:rPr>
          <w:rFonts w:ascii="Times New Roman" w:hAnsi="Times New Roman" w:cs="Times New Roman"/>
          <w:sz w:val="24"/>
          <w:szCs w:val="24"/>
          <w:lang w:val="en-MY"/>
        </w:rPr>
      </w:pPr>
      <w:r w:rsidRPr="00E44B0A">
        <w:rPr>
          <w:rFonts w:ascii="Times New Roman" w:hAnsi="Times New Roman" w:cs="Times New Roman"/>
          <w:sz w:val="24"/>
          <w:szCs w:val="24"/>
          <w:lang w:val="en-MY"/>
        </w:rPr>
        <w:t xml:space="preserve">As the first decade of the NDS 2021-2041 implementation will coincide with North Macedonia’s intensified EU accession path and taking into account that  the </w:t>
      </w:r>
      <w:r w:rsidRPr="00E44B0A">
        <w:rPr>
          <w:rFonts w:ascii="Times New Roman" w:hAnsi="Times New Roman" w:cs="Times New Roman"/>
          <w:sz w:val="24"/>
          <w:szCs w:val="24"/>
          <w:lang w:val="en-PH"/>
        </w:rPr>
        <w:t xml:space="preserve">substance and the process of meeting the Copenhagen economic criteria is conceptual terms consistent with the sustainable development goals orientation of the NDS 2021-204, the authorities are advised to set up an appropriate </w:t>
      </w:r>
      <w:r w:rsidR="00825C30" w:rsidRPr="00E44B0A">
        <w:rPr>
          <w:rFonts w:ascii="Times New Roman" w:hAnsi="Times New Roman" w:cs="Times New Roman"/>
          <w:sz w:val="24"/>
          <w:szCs w:val="24"/>
          <w:lang w:val="en-MY"/>
        </w:rPr>
        <w:t>institutional structure at a high political level that will steer coordination of the NDS 2021-2041 implementation</w:t>
      </w:r>
      <w:r w:rsidR="00564AA4" w:rsidRPr="00E44B0A">
        <w:rPr>
          <w:rFonts w:ascii="Times New Roman" w:hAnsi="Times New Roman" w:cs="Times New Roman"/>
          <w:sz w:val="24"/>
          <w:szCs w:val="24"/>
          <w:lang w:val="en-MY"/>
        </w:rPr>
        <w:t xml:space="preserve"> </w:t>
      </w:r>
      <w:r w:rsidR="00825C30" w:rsidRPr="00E44B0A">
        <w:rPr>
          <w:rFonts w:ascii="Times New Roman" w:hAnsi="Times New Roman" w:cs="Times New Roman"/>
          <w:sz w:val="24"/>
          <w:szCs w:val="24"/>
          <w:lang w:val="en-MY"/>
        </w:rPr>
        <w:t>and the EU accession negotiations</w:t>
      </w:r>
      <w:r w:rsidR="00A1069E" w:rsidRPr="00E44B0A">
        <w:rPr>
          <w:rFonts w:ascii="Times New Roman" w:hAnsi="Times New Roman" w:cs="Times New Roman"/>
          <w:sz w:val="24"/>
          <w:szCs w:val="24"/>
          <w:lang w:val="en-MY"/>
        </w:rPr>
        <w:t>, especially on the horizontal subjects with the “fundamentals’ cluster”.</w:t>
      </w:r>
    </w:p>
    <w:p w:rsidR="0064323C" w:rsidRDefault="0064323C" w:rsidP="00186D18">
      <w:pPr>
        <w:autoSpaceDE w:val="0"/>
        <w:autoSpaceDN w:val="0"/>
        <w:adjustRightInd w:val="0"/>
        <w:spacing w:after="0" w:line="240" w:lineRule="auto"/>
        <w:jc w:val="both"/>
        <w:rPr>
          <w:rFonts w:ascii="Times New Roman" w:hAnsi="Times New Roman" w:cs="Times New Roman"/>
          <w:sz w:val="24"/>
          <w:szCs w:val="24"/>
          <w:lang w:val="en-PH"/>
        </w:rPr>
      </w:pPr>
    </w:p>
    <w:sectPr w:rsidR="0064323C" w:rsidSect="00660D12">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A2A" w:rsidRDefault="00474A2A" w:rsidP="0038728A">
      <w:pPr>
        <w:spacing w:after="0" w:line="240" w:lineRule="auto"/>
      </w:pPr>
      <w:r>
        <w:separator/>
      </w:r>
    </w:p>
  </w:endnote>
  <w:endnote w:type="continuationSeparator" w:id="0">
    <w:p w:rsidR="00474A2A" w:rsidRDefault="00474A2A" w:rsidP="0038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topiaStd-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099534"/>
      <w:docPartObj>
        <w:docPartGallery w:val="Page Numbers (Bottom of Page)"/>
        <w:docPartUnique/>
      </w:docPartObj>
    </w:sdtPr>
    <w:sdtEndPr/>
    <w:sdtContent>
      <w:p w:rsidR="00C75C28" w:rsidRDefault="00C75C28">
        <w:pPr>
          <w:pStyle w:val="Footer"/>
          <w:jc w:val="center"/>
        </w:pPr>
        <w:r>
          <w:fldChar w:fldCharType="begin"/>
        </w:r>
        <w:r>
          <w:instrText>PAGE   \* MERGEFORMAT</w:instrText>
        </w:r>
        <w:r>
          <w:fldChar w:fldCharType="separate"/>
        </w:r>
        <w:r w:rsidR="001C31E5">
          <w:rPr>
            <w:noProof/>
          </w:rPr>
          <w:t>1</w:t>
        </w:r>
        <w:r>
          <w:fldChar w:fldCharType="end"/>
        </w:r>
      </w:p>
    </w:sdtContent>
  </w:sdt>
  <w:p w:rsidR="00C75C28" w:rsidRDefault="00C75C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A2A" w:rsidRDefault="00474A2A" w:rsidP="0038728A">
      <w:pPr>
        <w:spacing w:after="0" w:line="240" w:lineRule="auto"/>
      </w:pPr>
      <w:r>
        <w:separator/>
      </w:r>
    </w:p>
  </w:footnote>
  <w:footnote w:type="continuationSeparator" w:id="0">
    <w:p w:rsidR="00474A2A" w:rsidRDefault="00474A2A" w:rsidP="0038728A">
      <w:pPr>
        <w:spacing w:after="0" w:line="240" w:lineRule="auto"/>
      </w:pPr>
      <w:r>
        <w:continuationSeparator/>
      </w:r>
    </w:p>
  </w:footnote>
  <w:footnote w:id="1">
    <w:p w:rsidR="00C75C28" w:rsidRPr="0085704A" w:rsidRDefault="00C75C28" w:rsidP="009D783F">
      <w:pPr>
        <w:pStyle w:val="FootnoteText"/>
        <w:jc w:val="both"/>
        <w:rPr>
          <w:rFonts w:ascii="Times New Roman" w:hAnsi="Times New Roman" w:cs="Times New Roman"/>
          <w:lang w:val="en-MY"/>
        </w:rPr>
      </w:pPr>
      <w:r w:rsidRPr="0085704A">
        <w:rPr>
          <w:rStyle w:val="FootnoteReference"/>
          <w:rFonts w:ascii="Times New Roman" w:hAnsi="Times New Roman" w:cs="Times New Roman"/>
          <w:lang w:val="en-MY"/>
        </w:rPr>
        <w:footnoteRef/>
      </w:r>
      <w:r w:rsidRPr="0085704A">
        <w:rPr>
          <w:rFonts w:ascii="Times New Roman" w:hAnsi="Times New Roman" w:cs="Times New Roman"/>
          <w:lang w:val="en-MY"/>
        </w:rPr>
        <w:t xml:space="preserve"> </w:t>
      </w:r>
      <w:r w:rsidRPr="000B16FA">
        <w:rPr>
          <w:rFonts w:ascii="Times New Roman" w:hAnsi="Times New Roman" w:cs="Times New Roman"/>
          <w:i/>
          <w:lang w:val="en-MY"/>
        </w:rPr>
        <w:t>The European Green Deal</w:t>
      </w:r>
      <w:r w:rsidRPr="0085704A">
        <w:rPr>
          <w:rFonts w:ascii="Times New Roman" w:hAnsi="Times New Roman" w:cs="Times New Roman"/>
          <w:lang w:val="en-MY"/>
        </w:rPr>
        <w:t>. European Commission, December 2019</w:t>
      </w:r>
      <w:r>
        <w:rPr>
          <w:rFonts w:ascii="Times New Roman" w:hAnsi="Times New Roman" w:cs="Times New Roman"/>
          <w:lang w:val="en-MY"/>
        </w:rPr>
        <w:t>.</w:t>
      </w:r>
    </w:p>
  </w:footnote>
  <w:footnote w:id="2">
    <w:p w:rsidR="00C75C28" w:rsidRPr="00A12A96" w:rsidRDefault="00C75C28" w:rsidP="009D783F">
      <w:pPr>
        <w:pStyle w:val="NoSpacing"/>
        <w:jc w:val="both"/>
        <w:rPr>
          <w:rFonts w:ascii="Times New Roman" w:hAnsi="Times New Roman" w:cs="Times New Roman"/>
        </w:rPr>
      </w:pPr>
      <w:r w:rsidRPr="0085704A">
        <w:rPr>
          <w:rStyle w:val="FootnoteReference"/>
          <w:rFonts w:ascii="Times New Roman" w:hAnsi="Times New Roman" w:cs="Times New Roman"/>
          <w:sz w:val="20"/>
          <w:szCs w:val="20"/>
          <w:lang w:val="en-MY"/>
        </w:rPr>
        <w:footnoteRef/>
      </w:r>
      <w:r w:rsidRPr="0085704A">
        <w:rPr>
          <w:rFonts w:ascii="Times New Roman" w:hAnsi="Times New Roman" w:cs="Times New Roman"/>
          <w:sz w:val="20"/>
          <w:szCs w:val="20"/>
          <w:lang w:val="en-MY"/>
        </w:rPr>
        <w:t xml:space="preserve"> Mrak, Mojmir and Rant</w:t>
      </w:r>
      <w:r>
        <w:rPr>
          <w:rFonts w:ascii="Times New Roman" w:hAnsi="Times New Roman" w:cs="Times New Roman"/>
          <w:sz w:val="20"/>
          <w:szCs w:val="20"/>
          <w:lang w:val="en-MY"/>
        </w:rPr>
        <w:t>, Vasja</w:t>
      </w:r>
      <w:r w:rsidRPr="0085704A">
        <w:rPr>
          <w:rFonts w:ascii="Times New Roman" w:hAnsi="Times New Roman" w:cs="Times New Roman"/>
          <w:sz w:val="20"/>
          <w:szCs w:val="20"/>
          <w:lang w:val="en-MY"/>
        </w:rPr>
        <w:t xml:space="preserve">. </w:t>
      </w:r>
      <w:r w:rsidRPr="000B16FA">
        <w:rPr>
          <w:rFonts w:ascii="Times New Roman" w:hAnsi="Times New Roman" w:cs="Times New Roman"/>
          <w:i/>
          <w:sz w:val="20"/>
          <w:szCs w:val="20"/>
          <w:lang w:val="en-MY"/>
        </w:rPr>
        <w:t>European Council's budget and recovery deal in view of ambitious European Green Deal objectives</w:t>
      </w:r>
      <w:r w:rsidRPr="0085704A">
        <w:rPr>
          <w:rFonts w:ascii="Times New Roman" w:hAnsi="Times New Roman" w:cs="Times New Roman"/>
          <w:sz w:val="20"/>
          <w:szCs w:val="20"/>
          <w:lang w:val="en-MY"/>
        </w:rPr>
        <w:t>? Bančni Vestnik, November 2020</w:t>
      </w:r>
      <w:r>
        <w:rPr>
          <w:rFonts w:ascii="Times New Roman" w:hAnsi="Times New Roman" w:cs="Times New Roman"/>
          <w:sz w:val="20"/>
          <w:szCs w:val="20"/>
          <w:lang w:val="en-MY"/>
        </w:rPr>
        <w:t>.</w:t>
      </w:r>
    </w:p>
  </w:footnote>
  <w:footnote w:id="3">
    <w:p w:rsidR="00C75C28" w:rsidRPr="006A6768" w:rsidRDefault="00C75C28" w:rsidP="009D783F">
      <w:pPr>
        <w:pStyle w:val="FootnoteText"/>
        <w:jc w:val="both"/>
        <w:rPr>
          <w:rFonts w:ascii="Times New Roman" w:hAnsi="Times New Roman" w:cs="Times New Roman"/>
          <w:lang w:val="en-US"/>
        </w:rPr>
      </w:pPr>
      <w:r w:rsidRPr="006A6768">
        <w:rPr>
          <w:rStyle w:val="FootnoteReference"/>
          <w:rFonts w:ascii="Times New Roman" w:hAnsi="Times New Roman" w:cs="Times New Roman"/>
          <w:lang w:val="en-US"/>
        </w:rPr>
        <w:footnoteRef/>
      </w:r>
      <w:r w:rsidRPr="006A6768">
        <w:rPr>
          <w:rFonts w:ascii="Times New Roman" w:hAnsi="Times New Roman" w:cs="Times New Roman"/>
          <w:lang w:val="en-US"/>
        </w:rPr>
        <w:t xml:space="preserve"> </w:t>
      </w:r>
      <w:r w:rsidRPr="000B16FA">
        <w:rPr>
          <w:rFonts w:ascii="Times New Roman" w:hAnsi="Times New Roman" w:cs="Times New Roman"/>
          <w:i/>
          <w:lang w:val="en-US"/>
        </w:rPr>
        <w:t>Six policy priorities of the von der Leyen Commission: State of play in spring 2021</w:t>
      </w:r>
      <w:r w:rsidRPr="006A6768">
        <w:rPr>
          <w:rFonts w:ascii="Times New Roman" w:hAnsi="Times New Roman" w:cs="Times New Roman"/>
          <w:lang w:val="en-US"/>
        </w:rPr>
        <w:t xml:space="preserve">. European Parliament, April 2021. </w:t>
      </w:r>
    </w:p>
  </w:footnote>
  <w:footnote w:id="4">
    <w:p w:rsidR="00C75C28" w:rsidRDefault="00C75C28" w:rsidP="001F006B">
      <w:pPr>
        <w:pStyle w:val="Default"/>
        <w:jc w:val="both"/>
      </w:pPr>
      <w:r w:rsidRPr="00862ECA">
        <w:rPr>
          <w:rStyle w:val="FootnoteReference"/>
          <w:rFonts w:ascii="Times New Roman" w:hAnsi="Times New Roman" w:cs="Times New Roman"/>
          <w:lang w:val="en-TT"/>
        </w:rPr>
        <w:footnoteRef/>
      </w:r>
      <w:r w:rsidRPr="00862ECA">
        <w:rPr>
          <w:rFonts w:ascii="Times New Roman" w:hAnsi="Times New Roman" w:cs="Times New Roman"/>
          <w:lang w:val="en-TT"/>
        </w:rPr>
        <w:t xml:space="preserve"> </w:t>
      </w:r>
      <w:r w:rsidRPr="000B16FA">
        <w:rPr>
          <w:rFonts w:ascii="Times New Roman" w:hAnsi="Times New Roman" w:cs="Times New Roman"/>
          <w:i/>
          <w:sz w:val="20"/>
          <w:szCs w:val="20"/>
          <w:lang w:val="en-TT"/>
        </w:rPr>
        <w:t>European Green Deal Investment Plan: Main elements and possible impact of the coronavirus pandemic</w:t>
      </w:r>
      <w:r w:rsidRPr="00862ECA">
        <w:rPr>
          <w:rFonts w:ascii="Times New Roman" w:hAnsi="Times New Roman" w:cs="Times New Roman"/>
          <w:sz w:val="20"/>
          <w:szCs w:val="20"/>
          <w:lang w:val="en-TT"/>
        </w:rPr>
        <w:t xml:space="preserve">. European Parliament, April 2020. </w:t>
      </w:r>
    </w:p>
  </w:footnote>
  <w:footnote w:id="5">
    <w:p w:rsidR="00C75C28" w:rsidRPr="00C57271" w:rsidRDefault="00C75C28">
      <w:pPr>
        <w:pStyle w:val="FootnoteText"/>
        <w:rPr>
          <w:rFonts w:ascii="Times New Roman" w:hAnsi="Times New Roman" w:cs="Times New Roman"/>
        </w:rPr>
      </w:pPr>
      <w:r w:rsidRPr="00C57271">
        <w:rPr>
          <w:rStyle w:val="FootnoteReference"/>
          <w:rFonts w:ascii="Times New Roman" w:hAnsi="Times New Roman" w:cs="Times New Roman"/>
        </w:rPr>
        <w:footnoteRef/>
      </w:r>
      <w:r w:rsidRPr="00C57271">
        <w:rPr>
          <w:rFonts w:ascii="Times New Roman" w:hAnsi="Times New Roman" w:cs="Times New Roman"/>
        </w:rPr>
        <w:t xml:space="preserve"> </w:t>
      </w:r>
      <w:hyperlink r:id="rId1" w:history="1">
        <w:r w:rsidRPr="00C57271">
          <w:rPr>
            <w:rStyle w:val="Hyperlink"/>
            <w:rFonts w:ascii="Times New Roman" w:hAnsi="Times New Roman" w:cs="Times New Roman"/>
          </w:rPr>
          <w:t>https://ec.europa.eu/commission/presscorner/detail/en/qanda_20_1819</w:t>
        </w:r>
      </w:hyperlink>
      <w:r>
        <w:rPr>
          <w:rStyle w:val="Hyperlink"/>
          <w:rFonts w:ascii="Times New Roman" w:hAnsi="Times New Roman" w:cs="Times New Roman"/>
        </w:rPr>
        <w:t>.</w:t>
      </w:r>
    </w:p>
  </w:footnote>
  <w:footnote w:id="6">
    <w:p w:rsidR="00C75C28" w:rsidRPr="00C57271" w:rsidRDefault="00C75C28" w:rsidP="00C57271">
      <w:pPr>
        <w:pStyle w:val="Default"/>
        <w:rPr>
          <w:rFonts w:ascii="Times New Roman" w:hAnsi="Times New Roman" w:cs="Times New Roman"/>
          <w:sz w:val="20"/>
          <w:szCs w:val="20"/>
          <w:lang w:val="en-TT"/>
        </w:rPr>
      </w:pPr>
      <w:r w:rsidRPr="00C57271">
        <w:rPr>
          <w:rStyle w:val="FootnoteReference"/>
          <w:rFonts w:ascii="Times New Roman" w:hAnsi="Times New Roman" w:cs="Times New Roman"/>
          <w:sz w:val="20"/>
          <w:szCs w:val="20"/>
          <w:lang w:val="en-TT"/>
        </w:rPr>
        <w:footnoteRef/>
      </w:r>
      <w:r w:rsidRPr="00C57271">
        <w:rPr>
          <w:rFonts w:ascii="Times New Roman" w:hAnsi="Times New Roman" w:cs="Times New Roman"/>
          <w:sz w:val="20"/>
          <w:szCs w:val="20"/>
          <w:lang w:val="en-TT"/>
        </w:rPr>
        <w:t xml:space="preserve">  </w:t>
      </w:r>
      <w:r w:rsidRPr="000B16FA">
        <w:rPr>
          <w:rFonts w:ascii="Times New Roman" w:hAnsi="Times New Roman" w:cs="Times New Roman"/>
          <w:i/>
          <w:sz w:val="20"/>
          <w:szCs w:val="20"/>
          <w:lang w:val="en-TT"/>
        </w:rPr>
        <w:t>An Economic and Investment Plan for the Western Balkans</w:t>
      </w:r>
      <w:r>
        <w:rPr>
          <w:rFonts w:ascii="Times New Roman" w:hAnsi="Times New Roman" w:cs="Times New Roman"/>
          <w:sz w:val="20"/>
          <w:szCs w:val="20"/>
          <w:lang w:val="en-TT"/>
        </w:rPr>
        <w:t>. European Commission, October 2020.</w:t>
      </w:r>
    </w:p>
  </w:footnote>
  <w:footnote w:id="7">
    <w:p w:rsidR="00C75C28" w:rsidRPr="005133FB" w:rsidRDefault="00C75C28" w:rsidP="005133FB">
      <w:pPr>
        <w:pStyle w:val="FootnoteText"/>
        <w:jc w:val="both"/>
        <w:rPr>
          <w:rFonts w:ascii="Times New Roman" w:hAnsi="Times New Roman" w:cs="Times New Roman"/>
          <w:lang w:val="en-MY"/>
        </w:rPr>
      </w:pPr>
      <w:r w:rsidRPr="005133FB">
        <w:rPr>
          <w:rStyle w:val="FootnoteReference"/>
          <w:rFonts w:ascii="Times New Roman" w:hAnsi="Times New Roman" w:cs="Times New Roman"/>
          <w:i/>
          <w:lang w:val="en-MY"/>
        </w:rPr>
        <w:footnoteRef/>
      </w:r>
      <w:r w:rsidRPr="005133FB">
        <w:rPr>
          <w:rFonts w:ascii="Times New Roman" w:hAnsi="Times New Roman" w:cs="Times New Roman"/>
          <w:i/>
          <w:lang w:val="en-MY"/>
        </w:rPr>
        <w:t xml:space="preserve"> Guidance for the Economic Reform Programmes 2022-2024 for the Western Balkans and Turkey</w:t>
      </w:r>
      <w:r w:rsidRPr="005133FB">
        <w:rPr>
          <w:rFonts w:ascii="Times New Roman" w:hAnsi="Times New Roman" w:cs="Times New Roman"/>
          <w:lang w:val="en-MY"/>
        </w:rPr>
        <w:t>. European Commission, June 2021.</w:t>
      </w:r>
    </w:p>
  </w:footnote>
  <w:footnote w:id="8">
    <w:p w:rsidR="00C75C28" w:rsidRPr="00B324FB" w:rsidRDefault="00C75C28" w:rsidP="005133FB">
      <w:pPr>
        <w:pStyle w:val="Default"/>
        <w:jc w:val="both"/>
        <w:rPr>
          <w:rFonts w:ascii="Times New Roman" w:hAnsi="Times New Roman" w:cs="Times New Roman"/>
          <w:i/>
          <w:sz w:val="20"/>
          <w:szCs w:val="20"/>
          <w:lang w:val="en-US"/>
        </w:rPr>
      </w:pPr>
      <w:r w:rsidRPr="005133FB">
        <w:rPr>
          <w:rStyle w:val="FootnoteReference"/>
          <w:rFonts w:ascii="Times New Roman" w:hAnsi="Times New Roman" w:cs="Times New Roman"/>
          <w:sz w:val="20"/>
          <w:szCs w:val="20"/>
          <w:lang w:val="en-MY"/>
        </w:rPr>
        <w:footnoteRef/>
      </w:r>
      <w:r w:rsidRPr="005133FB">
        <w:rPr>
          <w:rFonts w:ascii="Times New Roman" w:hAnsi="Times New Roman" w:cs="Times New Roman"/>
          <w:sz w:val="20"/>
          <w:szCs w:val="20"/>
          <w:lang w:val="en-MY"/>
        </w:rPr>
        <w:t xml:space="preserve"> The Guidance says that »</w:t>
      </w:r>
      <w:r w:rsidRPr="005133FB">
        <w:rPr>
          <w:rFonts w:ascii="Times New Roman" w:hAnsi="Times New Roman" w:cs="Times New Roman"/>
          <w:i/>
          <w:sz w:val="20"/>
          <w:szCs w:val="20"/>
          <w:lang w:val="en-MY"/>
        </w:rPr>
        <w:t>reform measures could focus on: (i) decarbonisation and climate change adaptation,</w:t>
      </w:r>
      <w:r w:rsidRPr="00B324FB">
        <w:rPr>
          <w:rFonts w:ascii="Times New Roman" w:hAnsi="Times New Roman" w:cs="Times New Roman"/>
          <w:i/>
          <w:sz w:val="20"/>
          <w:szCs w:val="20"/>
          <w:lang w:val="en-US"/>
        </w:rPr>
        <w:t xml:space="preserve"> (ii) improving circularity of the economy, (iii) reducing environmental pollution and preserving biodiversity and (iv) establishing sustainable financing systems to support investments in these areas. Specific reforms may be developed to gradually: </w:t>
      </w:r>
    </w:p>
    <w:p w:rsidR="00C75C28" w:rsidRPr="00B324FB" w:rsidRDefault="00C75C28" w:rsidP="006C6039">
      <w:pPr>
        <w:pStyle w:val="Default"/>
        <w:numPr>
          <w:ilvl w:val="0"/>
          <w:numId w:val="22"/>
        </w:numPr>
        <w:ind w:left="426"/>
        <w:jc w:val="both"/>
        <w:rPr>
          <w:rFonts w:ascii="Times New Roman" w:hAnsi="Times New Roman" w:cs="Times New Roman"/>
          <w:i/>
          <w:sz w:val="20"/>
          <w:szCs w:val="20"/>
          <w:lang w:val="en-US"/>
        </w:rPr>
      </w:pPr>
      <w:r w:rsidRPr="00B324FB">
        <w:rPr>
          <w:rFonts w:ascii="Times New Roman" w:hAnsi="Times New Roman" w:cs="Times New Roman"/>
          <w:i/>
          <w:sz w:val="20"/>
          <w:szCs w:val="20"/>
          <w:lang w:val="en-US"/>
        </w:rPr>
        <w:t xml:space="preserve">reduce the overall carbon footprint of the economy, in particular by fostering the production and use of renewable energy sources, increasing energy efficiency, developing sustainable energy infrastructure, establishing carbon pricing mechanisms as well as more sustainable transport networks and measures aimed at reducing the environmental and health impact of the transport sector. Reforms promoting the decarbonisation of energy-intensive industries or of other sectors of the economy as well as reforms aiming at climate change adaptation may also be included here. </w:t>
      </w:r>
    </w:p>
    <w:p w:rsidR="00C75C28" w:rsidRPr="00B324FB" w:rsidRDefault="00C75C28" w:rsidP="006C6039">
      <w:pPr>
        <w:pStyle w:val="Default"/>
        <w:numPr>
          <w:ilvl w:val="0"/>
          <w:numId w:val="22"/>
        </w:numPr>
        <w:ind w:left="426"/>
        <w:jc w:val="both"/>
        <w:rPr>
          <w:rFonts w:ascii="Times New Roman" w:hAnsi="Times New Roman" w:cs="Times New Roman"/>
          <w:i/>
          <w:sz w:val="20"/>
          <w:szCs w:val="20"/>
          <w:lang w:val="en-US"/>
        </w:rPr>
      </w:pPr>
      <w:r w:rsidRPr="00B324FB">
        <w:rPr>
          <w:rFonts w:ascii="Times New Roman" w:hAnsi="Times New Roman" w:cs="Times New Roman"/>
          <w:i/>
          <w:sz w:val="20"/>
          <w:szCs w:val="20"/>
          <w:lang w:val="en-US"/>
        </w:rPr>
        <w:t xml:space="preserve">promote circular economy by ensuring a sustainable supply of raw materials and increasing resource productivity; establish innovative and more efficient ways of producing and consuming, introduce circularity in the business models, and improve waste management. </w:t>
      </w:r>
    </w:p>
    <w:p w:rsidR="00C75C28" w:rsidRPr="00B324FB" w:rsidRDefault="00C75C28" w:rsidP="006C6039">
      <w:pPr>
        <w:pStyle w:val="Default"/>
        <w:numPr>
          <w:ilvl w:val="0"/>
          <w:numId w:val="22"/>
        </w:numPr>
        <w:ind w:left="426"/>
        <w:jc w:val="both"/>
        <w:rPr>
          <w:rFonts w:ascii="Times New Roman" w:hAnsi="Times New Roman" w:cs="Times New Roman"/>
          <w:i/>
          <w:sz w:val="20"/>
          <w:szCs w:val="20"/>
          <w:lang w:val="en-US"/>
        </w:rPr>
      </w:pPr>
      <w:r w:rsidRPr="00B324FB">
        <w:rPr>
          <w:rFonts w:ascii="Times New Roman" w:hAnsi="Times New Roman" w:cs="Times New Roman"/>
          <w:i/>
          <w:sz w:val="20"/>
          <w:szCs w:val="20"/>
          <w:lang w:val="en-US"/>
        </w:rPr>
        <w:t xml:space="preserve">monitor and improvement of air and water quality as well as sanitation; combat land degradation, improve sustainable food production and forest management; and preserve natural resources and biodiversity. </w:t>
      </w:r>
    </w:p>
    <w:p w:rsidR="00C75C28" w:rsidRPr="006C6039" w:rsidRDefault="00C75C28" w:rsidP="006C6039">
      <w:pPr>
        <w:pStyle w:val="FootnoteText"/>
        <w:numPr>
          <w:ilvl w:val="0"/>
          <w:numId w:val="22"/>
        </w:numPr>
        <w:ind w:left="426"/>
        <w:jc w:val="both"/>
        <w:rPr>
          <w:rFonts w:ascii="Times New Roman" w:hAnsi="Times New Roman" w:cs="Times New Roman"/>
          <w:lang w:val="en-US"/>
        </w:rPr>
      </w:pPr>
      <w:r w:rsidRPr="00B324FB">
        <w:rPr>
          <w:rFonts w:ascii="Times New Roman" w:hAnsi="Times New Roman" w:cs="Times New Roman"/>
          <w:i/>
          <w:lang w:val="en-US"/>
        </w:rPr>
        <w:t>establish sustainable financing systems for investments in the above areas, based on the “polluter pays principle</w:t>
      </w:r>
      <w:r w:rsidRPr="006C6039">
        <w:rPr>
          <w:rFonts w:ascii="Times New Roman" w:hAnsi="Times New Roman" w:cs="Times New Roman"/>
          <w:lang w:val="en-US"/>
        </w:rPr>
        <w:t>”.</w:t>
      </w:r>
    </w:p>
  </w:footnote>
  <w:footnote w:id="9">
    <w:p w:rsidR="00C75C28" w:rsidRPr="00166319" w:rsidRDefault="00C75C28" w:rsidP="00166319">
      <w:pPr>
        <w:pStyle w:val="Default"/>
        <w:spacing w:line="240" w:lineRule="atLeast"/>
        <w:jc w:val="both"/>
        <w:rPr>
          <w:rFonts w:ascii="Times New Roman" w:hAnsi="Times New Roman" w:cs="Times New Roman"/>
          <w:bCs/>
          <w:sz w:val="20"/>
          <w:szCs w:val="20"/>
          <w:lang w:val="en-US"/>
        </w:rPr>
      </w:pPr>
      <w:r w:rsidRPr="00166319">
        <w:rPr>
          <w:rStyle w:val="FootnoteReference"/>
          <w:rFonts w:ascii="Times New Roman" w:hAnsi="Times New Roman" w:cs="Times New Roman"/>
          <w:sz w:val="20"/>
          <w:szCs w:val="20"/>
          <w:lang w:val="en-US"/>
        </w:rPr>
        <w:footnoteRef/>
      </w:r>
      <w:r w:rsidRPr="00166319">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The </w:t>
      </w:r>
      <w:r w:rsidRPr="00166319">
        <w:rPr>
          <w:rFonts w:ascii="Times New Roman" w:hAnsi="Times New Roman" w:cs="Times New Roman"/>
          <w:sz w:val="20"/>
          <w:szCs w:val="20"/>
          <w:lang w:val="en-US"/>
        </w:rPr>
        <w:t>Guidance</w:t>
      </w:r>
      <w:r>
        <w:rPr>
          <w:rFonts w:ascii="Times New Roman" w:hAnsi="Times New Roman" w:cs="Times New Roman"/>
          <w:sz w:val="20"/>
          <w:szCs w:val="20"/>
          <w:lang w:val="en-US"/>
        </w:rPr>
        <w:t xml:space="preserve"> says that</w:t>
      </w:r>
      <w:r w:rsidRPr="00166319">
        <w:rPr>
          <w:rFonts w:ascii="Times New Roman" w:hAnsi="Times New Roman" w:cs="Times New Roman"/>
          <w:sz w:val="20"/>
          <w:szCs w:val="20"/>
          <w:lang w:val="en-US"/>
        </w:rPr>
        <w:t xml:space="preserve"> “</w:t>
      </w:r>
      <w:r>
        <w:rPr>
          <w:rFonts w:ascii="Times New Roman" w:hAnsi="Times New Roman" w:cs="Times New Roman"/>
          <w:i/>
          <w:sz w:val="20"/>
          <w:szCs w:val="20"/>
          <w:lang w:val="en-US"/>
        </w:rPr>
        <w:t>r</w:t>
      </w:r>
      <w:r w:rsidRPr="00166319">
        <w:rPr>
          <w:rFonts w:ascii="Times New Roman" w:hAnsi="Times New Roman" w:cs="Times New Roman"/>
          <w:i/>
          <w:sz w:val="20"/>
          <w:szCs w:val="20"/>
          <w:lang w:val="en-US"/>
        </w:rPr>
        <w:t>eform measures in this area can, inter alia, focus on improving the effectiveness of digital services, bridging existing gaps in digital infrastructure, ensuring easy access to digital public services for citizens and businesses or expanding broadband access. Measures should ultimately be aimed at the development of a connected, competitive, knowledge-based, inclusive, sustainable and thriving economy with an increasingly dynamic private sector and a digitally resourceful society</w:t>
      </w:r>
      <w:r w:rsidRPr="00166319">
        <w:rPr>
          <w:rFonts w:ascii="Times New Roman" w:hAnsi="Times New Roman" w:cs="Times New Roman"/>
          <w:sz w:val="20"/>
          <w:szCs w:val="20"/>
          <w:lang w:val="en-US"/>
        </w:rPr>
        <w:t>.”</w:t>
      </w:r>
    </w:p>
    <w:p w:rsidR="00C75C28" w:rsidRPr="00166319" w:rsidRDefault="00C75C28">
      <w:pPr>
        <w:pStyle w:val="FootnoteText"/>
        <w:rPr>
          <w:rFonts w:ascii="Times New Roman" w:hAnsi="Times New Roman" w:cs="Times New Roman"/>
          <w:sz w:val="24"/>
          <w:szCs w:val="24"/>
          <w:lang w:val="en-US"/>
        </w:rPr>
      </w:pPr>
    </w:p>
  </w:footnote>
  <w:footnote w:id="10">
    <w:p w:rsidR="00C75C28" w:rsidRPr="000A16FE" w:rsidRDefault="00C75C28">
      <w:pPr>
        <w:pStyle w:val="FootnoteText"/>
        <w:rPr>
          <w:rFonts w:ascii="Times New Roman" w:hAnsi="Times New Roman" w:cs="Times New Roman"/>
          <w:lang w:val="en-US"/>
        </w:rPr>
      </w:pPr>
      <w:r w:rsidRPr="000A16FE">
        <w:rPr>
          <w:rStyle w:val="FootnoteReference"/>
          <w:rFonts w:ascii="Times New Roman" w:hAnsi="Times New Roman" w:cs="Times New Roman"/>
          <w:lang w:val="en-US"/>
        </w:rPr>
        <w:footnoteRef/>
      </w:r>
      <w:r w:rsidRPr="000A16FE">
        <w:rPr>
          <w:rFonts w:ascii="Times New Roman" w:hAnsi="Times New Roman" w:cs="Times New Roman"/>
          <w:lang w:val="en-US"/>
        </w:rPr>
        <w:t xml:space="preserve"> Miščević, Tanja and Mrak, Mojmir. </w:t>
      </w:r>
      <w:r w:rsidRPr="00EB11FC">
        <w:rPr>
          <w:rFonts w:ascii="Times New Roman" w:hAnsi="Times New Roman" w:cs="Times New Roman"/>
          <w:i/>
          <w:lang w:val="en-US"/>
        </w:rPr>
        <w:t>The EU accession process: Western Balkans vs EU 10</w:t>
      </w:r>
      <w:r w:rsidRPr="000A16FE">
        <w:rPr>
          <w:rFonts w:ascii="Times New Roman" w:hAnsi="Times New Roman" w:cs="Times New Roman"/>
          <w:lang w:val="en-US"/>
        </w:rPr>
        <w:t>. Politička misao, No.4, 2017.</w:t>
      </w:r>
    </w:p>
  </w:footnote>
  <w:footnote w:id="11">
    <w:p w:rsidR="00C75C28" w:rsidRPr="0079129B" w:rsidRDefault="00C75C28">
      <w:pPr>
        <w:pStyle w:val="FootnoteText"/>
        <w:rPr>
          <w:rFonts w:ascii="Times New Roman" w:hAnsi="Times New Roman" w:cs="Times New Roman"/>
          <w:lang w:val="en-US"/>
        </w:rPr>
      </w:pPr>
      <w:r w:rsidRPr="0079129B">
        <w:rPr>
          <w:rStyle w:val="FootnoteReference"/>
          <w:rFonts w:ascii="Times New Roman" w:hAnsi="Times New Roman" w:cs="Times New Roman"/>
          <w:lang w:val="en-US"/>
        </w:rPr>
        <w:footnoteRef/>
      </w:r>
      <w:r w:rsidRPr="0079129B">
        <w:rPr>
          <w:rFonts w:ascii="Times New Roman" w:hAnsi="Times New Roman" w:cs="Times New Roman"/>
          <w:lang w:val="en-US"/>
        </w:rPr>
        <w:t xml:space="preserve"> Ibid. </w:t>
      </w:r>
    </w:p>
  </w:footnote>
  <w:footnote w:id="12">
    <w:p w:rsidR="00C75C28" w:rsidRPr="00485FAC" w:rsidRDefault="00C75C28" w:rsidP="00485FAC">
      <w:pPr>
        <w:pStyle w:val="FootnoteText"/>
        <w:jc w:val="both"/>
        <w:rPr>
          <w:rFonts w:ascii="Times New Roman" w:hAnsi="Times New Roman" w:cs="Times New Roman"/>
        </w:rPr>
      </w:pPr>
      <w:r w:rsidRPr="00485FAC">
        <w:rPr>
          <w:rStyle w:val="FootnoteReference"/>
          <w:rFonts w:ascii="Times New Roman" w:hAnsi="Times New Roman" w:cs="Times New Roman"/>
        </w:rPr>
        <w:footnoteRef/>
      </w:r>
      <w:r w:rsidRPr="00485FAC">
        <w:rPr>
          <w:rFonts w:ascii="Times New Roman" w:hAnsi="Times New Roman" w:cs="Times New Roman"/>
        </w:rPr>
        <w:t xml:space="preserve"> T</w:t>
      </w:r>
      <w:r w:rsidRPr="00485FAC">
        <w:rPr>
          <w:rFonts w:ascii="Times New Roman" w:hAnsi="Times New Roman" w:cs="Times New Roman"/>
          <w:lang w:val="en-MY"/>
        </w:rPr>
        <w:t>he other two ”fundamentals first” pillars were (i) early resolution of bilateral disputes, and (ii) public administration reform</w:t>
      </w:r>
      <w:r w:rsidR="001F006B">
        <w:rPr>
          <w:rFonts w:ascii="Times New Roman" w:hAnsi="Times New Roman" w:cs="Times New Roman"/>
          <w:lang w:val="en-MY"/>
        </w:rPr>
        <w:t>.</w:t>
      </w:r>
    </w:p>
  </w:footnote>
  <w:footnote w:id="13">
    <w:p w:rsidR="00C75C28" w:rsidRPr="00485FAC" w:rsidRDefault="00C75C28" w:rsidP="0079129B">
      <w:pPr>
        <w:pStyle w:val="FootnoteText"/>
        <w:jc w:val="both"/>
        <w:rPr>
          <w:rFonts w:ascii="Times New Roman" w:hAnsi="Times New Roman" w:cs="Times New Roman"/>
        </w:rPr>
      </w:pPr>
      <w:r w:rsidRPr="00485FAC">
        <w:rPr>
          <w:rStyle w:val="FootnoteReference"/>
          <w:rFonts w:ascii="Times New Roman" w:hAnsi="Times New Roman" w:cs="Times New Roman"/>
        </w:rPr>
        <w:footnoteRef/>
      </w:r>
      <w:r w:rsidRPr="00485FAC">
        <w:rPr>
          <w:rFonts w:ascii="Times New Roman" w:hAnsi="Times New Roman" w:cs="Times New Roman"/>
        </w:rPr>
        <w:t xml:space="preserve"> </w:t>
      </w:r>
      <w:r w:rsidRPr="00485FAC">
        <w:rPr>
          <w:rFonts w:ascii="Times New Roman" w:hAnsi="Times New Roman" w:cs="Times New Roman"/>
          <w:i/>
          <w:lang w:val="en-US"/>
        </w:rPr>
        <w:t>Enhancing the accession process - A credible EU perspective for the Western Balkans</w:t>
      </w:r>
      <w:r w:rsidRPr="00485FAC">
        <w:rPr>
          <w:rFonts w:ascii="Times New Roman" w:hAnsi="Times New Roman" w:cs="Times New Roman"/>
          <w:lang w:val="en-US"/>
        </w:rPr>
        <w:t>. European Commission, February 2020.</w:t>
      </w:r>
    </w:p>
  </w:footnote>
  <w:footnote w:id="14">
    <w:p w:rsidR="00C75C28" w:rsidRPr="00FC3767" w:rsidRDefault="00C75C28" w:rsidP="007B3364">
      <w:pPr>
        <w:pStyle w:val="NoSpacing"/>
        <w:jc w:val="both"/>
        <w:rPr>
          <w:rFonts w:ascii="Times New Roman" w:hAnsi="Times New Roman" w:cs="Times New Roman"/>
          <w:sz w:val="20"/>
          <w:szCs w:val="20"/>
          <w:lang w:val="en-ZA"/>
        </w:rPr>
      </w:pPr>
      <w:r w:rsidRPr="00FC3767">
        <w:rPr>
          <w:rStyle w:val="FootnoteReference"/>
          <w:rFonts w:ascii="Times New Roman" w:hAnsi="Times New Roman" w:cs="Times New Roman"/>
          <w:sz w:val="20"/>
          <w:szCs w:val="20"/>
          <w:lang w:val="en-ZA"/>
        </w:rPr>
        <w:footnoteRef/>
      </w:r>
      <w:r w:rsidRPr="00FC3767">
        <w:rPr>
          <w:rFonts w:ascii="Times New Roman" w:hAnsi="Times New Roman" w:cs="Times New Roman"/>
          <w:sz w:val="20"/>
          <w:szCs w:val="20"/>
          <w:lang w:val="en-ZA"/>
        </w:rPr>
        <w:t xml:space="preserve"> Mrak, Mojmir. </w:t>
      </w:r>
      <w:r w:rsidRPr="00FC3767">
        <w:rPr>
          <w:rFonts w:ascii="Times New Roman" w:hAnsi="Times New Roman" w:cs="Times New Roman"/>
          <w:i/>
          <w:sz w:val="20"/>
          <w:szCs w:val="20"/>
          <w:lang w:val="en-ZA"/>
        </w:rPr>
        <w:t xml:space="preserve">North Macedonia: Support to conceptualization of economic aspects of EU accession negotiations. </w:t>
      </w:r>
      <w:r w:rsidRPr="00FC3767">
        <w:rPr>
          <w:rFonts w:ascii="Times New Roman" w:hAnsi="Times New Roman" w:cs="Times New Roman"/>
          <w:sz w:val="20"/>
          <w:szCs w:val="20"/>
          <w:lang w:val="en-ZA"/>
        </w:rPr>
        <w:t>UNOPS, December 2020 (internal document).</w:t>
      </w:r>
    </w:p>
  </w:footnote>
  <w:footnote w:id="15">
    <w:p w:rsidR="00C75C28" w:rsidRPr="00FC3767" w:rsidRDefault="00C75C28" w:rsidP="008A7279">
      <w:pPr>
        <w:pStyle w:val="FootnoteText"/>
        <w:jc w:val="both"/>
        <w:rPr>
          <w:rStyle w:val="FootnoteReference"/>
          <w:lang w:val="en-ZA"/>
        </w:rPr>
      </w:pPr>
      <w:r w:rsidRPr="00FC3767">
        <w:rPr>
          <w:rStyle w:val="FootnoteReference"/>
          <w:rFonts w:ascii="Times New Roman" w:hAnsi="Times New Roman" w:cs="Times New Roman"/>
          <w:lang w:val="en-PH"/>
        </w:rPr>
        <w:footnoteRef/>
      </w:r>
      <w:r w:rsidRPr="00FC3767">
        <w:rPr>
          <w:rFonts w:ascii="Times New Roman" w:hAnsi="Times New Roman" w:cs="Times New Roman"/>
          <w:lang w:val="en-PH"/>
        </w:rPr>
        <w:t xml:space="preserve"> The text relies</w:t>
      </w:r>
      <w:r w:rsidRPr="00FC3767">
        <w:rPr>
          <w:rStyle w:val="FootnoteReference"/>
          <w:rFonts w:ascii="Times New Roman" w:hAnsi="Times New Roman" w:cs="Times New Roman"/>
          <w:lang w:val="en-PH"/>
        </w:rPr>
        <w:t xml:space="preserve"> </w:t>
      </w:r>
      <w:r w:rsidRPr="00FC3767">
        <w:rPr>
          <w:rFonts w:ascii="Times New Roman" w:hAnsi="Times New Roman" w:cs="Times New Roman"/>
          <w:lang w:val="en-PH"/>
        </w:rPr>
        <w:t xml:space="preserve"> on Mrak, Mojmir. </w:t>
      </w:r>
      <w:r w:rsidRPr="00FC3767">
        <w:rPr>
          <w:rFonts w:ascii="Times New Roman" w:hAnsi="Times New Roman" w:cs="Times New Roman"/>
          <w:i/>
          <w:lang w:val="en-PH"/>
        </w:rPr>
        <w:t>Economic criteria as an integral part of the »fundamentals’ cluster« in the forthcoming EU accession negotiations:</w:t>
      </w:r>
      <w:r>
        <w:rPr>
          <w:rFonts w:ascii="Times New Roman" w:hAnsi="Times New Roman" w:cs="Times New Roman"/>
          <w:i/>
          <w:lang w:val="en-PH"/>
        </w:rPr>
        <w:t xml:space="preserve"> </w:t>
      </w:r>
      <w:r w:rsidRPr="00FC3767">
        <w:rPr>
          <w:rFonts w:ascii="Times New Roman" w:hAnsi="Times New Roman" w:cs="Times New Roman"/>
          <w:i/>
          <w:lang w:val="en-PH"/>
        </w:rPr>
        <w:t>general issues and specifics for North Macedonia</w:t>
      </w:r>
      <w:r>
        <w:rPr>
          <w:rFonts w:ascii="Times New Roman" w:hAnsi="Times New Roman" w:cs="Times New Roman"/>
          <w:i/>
          <w:lang w:val="en-PH"/>
        </w:rPr>
        <w:t xml:space="preserve">. </w:t>
      </w:r>
      <w:r w:rsidRPr="00FC3767">
        <w:rPr>
          <w:rFonts w:ascii="Times New Roman" w:hAnsi="Times New Roman" w:cs="Times New Roman"/>
          <w:lang w:val="en-PH"/>
        </w:rPr>
        <w:t>UNOPS, February 2021 (internal document)</w:t>
      </w:r>
      <w:r>
        <w:rPr>
          <w:rFonts w:ascii="Times New Roman" w:hAnsi="Times New Roman" w:cs="Times New Roman"/>
          <w:lang w:val="en-PH"/>
        </w:rPr>
        <w:t>.</w:t>
      </w:r>
      <w:r>
        <w:rPr>
          <w:rStyle w:val="FootnoteReference"/>
          <w:lang w:val="en-ZA"/>
        </w:rPr>
        <w:t xml:space="preserve"> </w:t>
      </w:r>
      <w:r w:rsidRPr="00FC3767">
        <w:rPr>
          <w:rStyle w:val="FootnoteReference"/>
          <w:lang w:val="en-ZA"/>
        </w:rPr>
        <w:t xml:space="preserve"> </w:t>
      </w:r>
    </w:p>
  </w:footnote>
  <w:footnote w:id="16">
    <w:p w:rsidR="00C75C28" w:rsidRPr="00A57252" w:rsidRDefault="00C75C28" w:rsidP="00A57252">
      <w:pPr>
        <w:autoSpaceDE w:val="0"/>
        <w:autoSpaceDN w:val="0"/>
        <w:adjustRightInd w:val="0"/>
        <w:spacing w:after="0" w:line="240" w:lineRule="auto"/>
        <w:jc w:val="both"/>
        <w:rPr>
          <w:rFonts w:ascii="Times New Roman" w:hAnsi="Times New Roman" w:cs="Times New Roman"/>
          <w:sz w:val="20"/>
          <w:szCs w:val="20"/>
          <w:lang w:val="en-ZA"/>
        </w:rPr>
      </w:pPr>
      <w:r w:rsidRPr="00A57252">
        <w:rPr>
          <w:rStyle w:val="FootnoteReference"/>
          <w:rFonts w:ascii="Times New Roman" w:hAnsi="Times New Roman" w:cs="Times New Roman"/>
          <w:sz w:val="20"/>
          <w:szCs w:val="20"/>
          <w:lang w:val="en-ZA"/>
        </w:rPr>
        <w:footnoteRef/>
      </w:r>
      <w:r w:rsidRPr="00A57252">
        <w:rPr>
          <w:rFonts w:ascii="Times New Roman" w:hAnsi="Times New Roman" w:cs="Times New Roman"/>
          <w:sz w:val="20"/>
          <w:szCs w:val="20"/>
          <w:lang w:val="en-ZA"/>
        </w:rPr>
        <w:t xml:space="preserve"> </w:t>
      </w:r>
      <w:r w:rsidRPr="00A57252">
        <w:rPr>
          <w:rFonts w:ascii="Times New Roman" w:hAnsi="Times New Roman" w:cs="Times New Roman"/>
          <w:color w:val="000000"/>
          <w:sz w:val="20"/>
          <w:szCs w:val="20"/>
          <w:lang w:val="en-ZA"/>
        </w:rPr>
        <w:t xml:space="preserve">Admos, O. Chimhowu and Hulme, David and Munro, T. Lauchlan.  </w:t>
      </w:r>
      <w:r w:rsidRPr="00A57252">
        <w:rPr>
          <w:rFonts w:ascii="Times New Roman" w:hAnsi="Times New Roman" w:cs="Times New Roman"/>
          <w:i/>
          <w:sz w:val="20"/>
          <w:szCs w:val="20"/>
          <w:lang w:val="en-ZA"/>
        </w:rPr>
        <w:t>The ‘New’ national development planning and global development goals: Processes and partnerships.</w:t>
      </w:r>
      <w:r w:rsidRPr="00A57252">
        <w:rPr>
          <w:rFonts w:ascii="Times New Roman" w:hAnsi="Times New Roman" w:cs="Times New Roman"/>
          <w:i/>
          <w:color w:val="000000"/>
          <w:sz w:val="20"/>
          <w:szCs w:val="20"/>
          <w:lang w:val="en-ZA"/>
        </w:rPr>
        <w:t xml:space="preserve"> </w:t>
      </w:r>
      <w:r w:rsidRPr="00A57252">
        <w:rPr>
          <w:rFonts w:ascii="Times New Roman" w:hAnsi="Times New Roman" w:cs="Times New Roman"/>
          <w:color w:val="000000"/>
          <w:sz w:val="20"/>
          <w:szCs w:val="20"/>
          <w:lang w:val="en-ZA"/>
        </w:rPr>
        <w:t>World Development (120), 2019</w:t>
      </w:r>
      <w:r w:rsidRPr="00A57252">
        <w:rPr>
          <w:rFonts w:ascii="Times New Roman" w:hAnsi="Times New Roman" w:cs="Times New Roman"/>
          <w:sz w:val="20"/>
          <w:szCs w:val="20"/>
          <w:lang w:val="en-ZA"/>
        </w:rPr>
        <w:t>.</w:t>
      </w:r>
    </w:p>
  </w:footnote>
  <w:footnote w:id="17">
    <w:p w:rsidR="00C75C28" w:rsidRPr="00743563" w:rsidRDefault="00C75C28" w:rsidP="00743563">
      <w:pPr>
        <w:pStyle w:val="NoSpacing"/>
        <w:spacing w:line="240" w:lineRule="atLeast"/>
        <w:jc w:val="both"/>
        <w:rPr>
          <w:lang w:val="en-PH"/>
        </w:rPr>
      </w:pPr>
      <w:r w:rsidRPr="00743563">
        <w:rPr>
          <w:rStyle w:val="FootnoteReference"/>
          <w:rFonts w:ascii="Times New Roman" w:hAnsi="Times New Roman" w:cs="Times New Roman"/>
          <w:sz w:val="20"/>
          <w:szCs w:val="20"/>
        </w:rPr>
        <w:footnoteRef/>
      </w:r>
      <w:r w:rsidRPr="00743563">
        <w:rPr>
          <w:rFonts w:ascii="Times New Roman" w:hAnsi="Times New Roman" w:cs="Times New Roman"/>
          <w:sz w:val="20"/>
          <w:szCs w:val="20"/>
        </w:rPr>
        <w:t xml:space="preserve"> </w:t>
      </w:r>
      <w:r w:rsidRPr="00743563">
        <w:rPr>
          <w:rFonts w:ascii="Times New Roman" w:hAnsi="Times New Roman" w:cs="Times New Roman"/>
          <w:sz w:val="20"/>
          <w:szCs w:val="20"/>
          <w:lang w:val="en-PH"/>
        </w:rPr>
        <w:t xml:space="preserve">While macro-financial stability, it consists of stable macro-economic framework and well performing financial sector, is of crucial importance for meeting the first part of Copenhagen economic criteria </w:t>
      </w:r>
      <w:r w:rsidRPr="00743563">
        <w:rPr>
          <w:rFonts w:ascii="Times New Roman" w:hAnsi="Times New Roman" w:cs="Times New Roman"/>
          <w:i/>
          <w:sz w:val="20"/>
          <w:szCs w:val="20"/>
          <w:lang w:val="en-PH"/>
        </w:rPr>
        <w:t>(</w:t>
      </w:r>
      <w:r w:rsidRPr="00743563">
        <w:rPr>
          <w:rFonts w:ascii="Times New Roman" w:hAnsi="Times New Roman" w:cs="Times New Roman"/>
          <w:bCs/>
          <w:i/>
          <w:color w:val="0C000F"/>
          <w:sz w:val="20"/>
          <w:szCs w:val="20"/>
          <w:shd w:val="clear" w:color="auto" w:fill="FFFFFF"/>
          <w:lang w:val="en-PH"/>
        </w:rPr>
        <w:t xml:space="preserve">a functioning market economy), </w:t>
      </w:r>
      <w:r w:rsidRPr="00743563">
        <w:rPr>
          <w:rFonts w:ascii="Times New Roman" w:hAnsi="Times New Roman" w:cs="Times New Roman"/>
          <w:color w:val="0C000F"/>
          <w:sz w:val="20"/>
          <w:szCs w:val="20"/>
          <w:shd w:val="clear" w:color="auto" w:fill="FFFFFF"/>
          <w:lang w:val="en-PH"/>
        </w:rPr>
        <w:t xml:space="preserve">all other areas of economic governance that can be put under a common denominator of structural reforms are instrumental for achieving the second one </w:t>
      </w:r>
      <w:r w:rsidRPr="00743563">
        <w:rPr>
          <w:rFonts w:ascii="Times New Roman" w:hAnsi="Times New Roman" w:cs="Times New Roman"/>
          <w:i/>
          <w:color w:val="0C000F"/>
          <w:sz w:val="20"/>
          <w:szCs w:val="20"/>
          <w:shd w:val="clear" w:color="auto" w:fill="FFFFFF"/>
          <w:lang w:val="en-PH"/>
        </w:rPr>
        <w:t>(</w:t>
      </w:r>
      <w:r w:rsidRPr="00743563">
        <w:rPr>
          <w:rFonts w:ascii="Times New Roman" w:hAnsi="Times New Roman" w:cs="Times New Roman"/>
          <w:bCs/>
          <w:i/>
          <w:color w:val="0C000F"/>
          <w:sz w:val="20"/>
          <w:szCs w:val="20"/>
          <w:shd w:val="clear" w:color="auto" w:fill="FFFFFF"/>
          <w:lang w:val="en-PH"/>
        </w:rPr>
        <w:t>the capacity to withstand competitive pressure inside the EU single market).</w:t>
      </w:r>
    </w:p>
  </w:footnote>
  <w:footnote w:id="18">
    <w:p w:rsidR="00C75C28" w:rsidRPr="007E4E54" w:rsidRDefault="00C75C28" w:rsidP="007E4E54">
      <w:pPr>
        <w:pStyle w:val="FootnoteText"/>
        <w:rPr>
          <w:rFonts w:ascii="Times New Roman" w:hAnsi="Times New Roman" w:cs="Times New Roman"/>
          <w:lang w:val="en-ZA"/>
        </w:rPr>
      </w:pPr>
      <w:r w:rsidRPr="007E4E54">
        <w:rPr>
          <w:rStyle w:val="FootnoteReference"/>
          <w:rFonts w:ascii="Times New Roman" w:hAnsi="Times New Roman" w:cs="Times New Roman"/>
          <w:lang w:val="en-ZA"/>
        </w:rPr>
        <w:footnoteRef/>
      </w:r>
      <w:r w:rsidRPr="007E4E54">
        <w:rPr>
          <w:rFonts w:ascii="Times New Roman" w:hAnsi="Times New Roman" w:cs="Times New Roman"/>
          <w:lang w:val="en-ZA"/>
        </w:rPr>
        <w:t xml:space="preserve"> </w:t>
      </w:r>
      <w:hyperlink r:id="rId2" w:history="1">
        <w:r w:rsidRPr="007E4E54">
          <w:rPr>
            <w:rStyle w:val="Hyperlink"/>
            <w:rFonts w:ascii="Times New Roman" w:hAnsi="Times New Roman" w:cs="Times New Roman"/>
            <w:lang w:val="en-ZA"/>
          </w:rPr>
          <w:t>Economic governance | European Neighbourhood Policy And Enlargement Negotiations (europa.eu)</w:t>
        </w:r>
      </w:hyperlink>
    </w:p>
  </w:footnote>
  <w:footnote w:id="19">
    <w:p w:rsidR="00C75C28" w:rsidRPr="007E4E54" w:rsidRDefault="00C75C28" w:rsidP="007E4E54">
      <w:pPr>
        <w:pStyle w:val="FootnoteText"/>
        <w:rPr>
          <w:rFonts w:ascii="Times New Roman" w:hAnsi="Times New Roman" w:cs="Times New Roman"/>
          <w:lang w:val="en-ZA"/>
        </w:rPr>
      </w:pPr>
      <w:r w:rsidRPr="007E4E54">
        <w:rPr>
          <w:rStyle w:val="FootnoteReference"/>
          <w:rFonts w:ascii="Times New Roman" w:hAnsi="Times New Roman" w:cs="Times New Roman"/>
          <w:lang w:val="en-ZA"/>
        </w:rPr>
        <w:footnoteRef/>
      </w:r>
      <w:r w:rsidRPr="007E4E54">
        <w:rPr>
          <w:rFonts w:ascii="Times New Roman" w:hAnsi="Times New Roman" w:cs="Times New Roman"/>
          <w:lang w:val="en-ZA"/>
        </w:rPr>
        <w:t xml:space="preserve"> Prepared based on various documents</w:t>
      </w:r>
      <w:r>
        <w:rPr>
          <w:rFonts w:ascii="Times New Roman" w:hAnsi="Times New Roman" w:cs="Times New Roman"/>
          <w:lang w:val="en-ZA"/>
        </w:rPr>
        <w:t xml:space="preserve"> of the European Commission</w:t>
      </w:r>
      <w:r w:rsidRPr="007E4E54">
        <w:rPr>
          <w:rFonts w:ascii="Times New Roman" w:hAnsi="Times New Roman" w:cs="Times New Roman"/>
          <w:lang w:val="en-ZA"/>
        </w:rPr>
        <w:t xml:space="preserve">, especially </w:t>
      </w:r>
    </w:p>
    <w:p w:rsidR="00C75C28" w:rsidRPr="007E4E54" w:rsidRDefault="00474A2A" w:rsidP="007E4E54">
      <w:pPr>
        <w:pStyle w:val="FootnoteText"/>
        <w:numPr>
          <w:ilvl w:val="0"/>
          <w:numId w:val="31"/>
        </w:numPr>
        <w:ind w:left="426"/>
        <w:rPr>
          <w:rStyle w:val="Hyperlink"/>
          <w:rFonts w:ascii="Times New Roman" w:hAnsi="Times New Roman" w:cs="Times New Roman"/>
          <w:lang w:val="en-ZA"/>
        </w:rPr>
      </w:pPr>
      <w:hyperlink r:id="rId3" w:history="1">
        <w:r w:rsidR="00C75C28" w:rsidRPr="007E4E54">
          <w:rPr>
            <w:rStyle w:val="Hyperlink"/>
            <w:rFonts w:ascii="Times New Roman" w:hAnsi="Times New Roman" w:cs="Times New Roman"/>
            <w:lang w:val="en-ZA"/>
          </w:rPr>
          <w:t>Economic governance | European Neighbourhood Policy And Enlargement Negotiations (europa.eu)</w:t>
        </w:r>
      </w:hyperlink>
    </w:p>
    <w:p w:rsidR="00C75C28" w:rsidRDefault="00C75C28" w:rsidP="00C75C28">
      <w:pPr>
        <w:pStyle w:val="Default"/>
        <w:numPr>
          <w:ilvl w:val="0"/>
          <w:numId w:val="31"/>
        </w:numPr>
        <w:ind w:left="426"/>
      </w:pPr>
      <w:r w:rsidRPr="00743563">
        <w:rPr>
          <w:rFonts w:ascii="Times New Roman" w:hAnsi="Times New Roman" w:cs="Times New Roman"/>
          <w:bCs/>
          <w:sz w:val="20"/>
          <w:szCs w:val="20"/>
          <w:lang w:val="en-ZA"/>
        </w:rPr>
        <w:t>Guidance for the Economic Reform Programmes 2021-2023 of the Western Balkans and Turkey.</w:t>
      </w:r>
      <w:r>
        <w:t xml:space="preserve"> </w:t>
      </w:r>
    </w:p>
  </w:footnote>
  <w:footnote w:id="20">
    <w:p w:rsidR="00C75C28" w:rsidRPr="00C869ED" w:rsidRDefault="00C75C28" w:rsidP="00C869ED">
      <w:pPr>
        <w:tabs>
          <w:tab w:val="num" w:pos="1440"/>
        </w:tabs>
        <w:spacing w:line="240" w:lineRule="auto"/>
        <w:jc w:val="both"/>
        <w:rPr>
          <w:rFonts w:ascii="Times New Roman" w:hAnsi="Times New Roman" w:cs="Times New Roman"/>
          <w:sz w:val="20"/>
          <w:szCs w:val="20"/>
          <w:lang w:val="en-MY"/>
        </w:rPr>
      </w:pPr>
      <w:r w:rsidRPr="00C869ED">
        <w:rPr>
          <w:rStyle w:val="FootnoteReference"/>
          <w:rFonts w:ascii="Times New Roman" w:hAnsi="Times New Roman" w:cs="Times New Roman"/>
          <w:sz w:val="20"/>
          <w:szCs w:val="20"/>
        </w:rPr>
        <w:footnoteRef/>
      </w:r>
      <w:r w:rsidRPr="00C869ED">
        <w:rPr>
          <w:rFonts w:ascii="Times New Roman" w:hAnsi="Times New Roman" w:cs="Times New Roman"/>
          <w:sz w:val="20"/>
          <w:szCs w:val="20"/>
        </w:rPr>
        <w:t xml:space="preserve"> </w:t>
      </w:r>
      <w:r w:rsidRPr="00C869ED">
        <w:rPr>
          <w:rFonts w:ascii="Times New Roman" w:hAnsi="Times New Roman" w:cs="Times New Roman"/>
          <w:sz w:val="20"/>
          <w:szCs w:val="20"/>
          <w:lang w:val="en-MY"/>
        </w:rPr>
        <w:t xml:space="preserve">As </w:t>
      </w:r>
      <w:r>
        <w:rPr>
          <w:rFonts w:ascii="Times New Roman" w:hAnsi="Times New Roman" w:cs="Times New Roman"/>
          <w:sz w:val="20"/>
          <w:szCs w:val="20"/>
          <w:lang w:val="en-MY"/>
        </w:rPr>
        <w:t xml:space="preserve">outlined </w:t>
      </w:r>
      <w:r w:rsidRPr="00C869ED">
        <w:rPr>
          <w:rFonts w:ascii="Times New Roman" w:hAnsi="Times New Roman" w:cs="Times New Roman"/>
          <w:sz w:val="20"/>
          <w:szCs w:val="20"/>
          <w:lang w:val="en-MY"/>
        </w:rPr>
        <w:t>in the I</w:t>
      </w:r>
      <w:r w:rsidRPr="00C869ED">
        <w:rPr>
          <w:rFonts w:ascii="Times New Roman" w:hAnsi="Times New Roman" w:cs="Times New Roman"/>
          <w:i/>
          <w:sz w:val="20"/>
          <w:szCs w:val="20"/>
          <w:lang w:val="en-MY"/>
        </w:rPr>
        <w:t>ntroduction</w:t>
      </w:r>
      <w:r w:rsidRPr="00C869ED">
        <w:rPr>
          <w:rFonts w:ascii="Times New Roman" w:hAnsi="Times New Roman" w:cs="Times New Roman"/>
          <w:sz w:val="20"/>
          <w:szCs w:val="20"/>
          <w:lang w:val="en-MY"/>
        </w:rPr>
        <w:t>, the Report</w:t>
      </w:r>
      <w:r>
        <w:rPr>
          <w:rFonts w:ascii="Times New Roman" w:hAnsi="Times New Roman" w:cs="Times New Roman"/>
          <w:sz w:val="20"/>
          <w:szCs w:val="20"/>
          <w:lang w:val="en-MY"/>
        </w:rPr>
        <w:t xml:space="preserve"> including its </w:t>
      </w:r>
      <w:r w:rsidRPr="00625471">
        <w:rPr>
          <w:rFonts w:ascii="Times New Roman" w:hAnsi="Times New Roman" w:cs="Times New Roman"/>
          <w:i/>
          <w:sz w:val="20"/>
          <w:szCs w:val="20"/>
          <w:lang w:val="en-MY"/>
        </w:rPr>
        <w:t>Conclusions and recommendations</w:t>
      </w:r>
      <w:r>
        <w:rPr>
          <w:rFonts w:ascii="Times New Roman" w:hAnsi="Times New Roman" w:cs="Times New Roman"/>
          <w:sz w:val="20"/>
          <w:szCs w:val="20"/>
          <w:lang w:val="en-MY"/>
        </w:rPr>
        <w:t xml:space="preserve"> </w:t>
      </w:r>
      <w:r w:rsidRPr="00C869ED">
        <w:rPr>
          <w:rFonts w:ascii="Times New Roman" w:hAnsi="Times New Roman" w:cs="Times New Roman"/>
          <w:sz w:val="20"/>
          <w:szCs w:val="20"/>
          <w:lang w:val="en-MY"/>
        </w:rPr>
        <w:t xml:space="preserve">is written under the assumption that North Macedonia will start the EU accession negotiations in by the end of this year or at latest by the end of 2022 and that the country will become an EU member somewhere around 2030. </w:t>
      </w:r>
      <w:r>
        <w:rPr>
          <w:rFonts w:ascii="Times New Roman" w:hAnsi="Times New Roman" w:cs="Times New Roman"/>
          <w:sz w:val="20"/>
          <w:szCs w:val="20"/>
          <w:lang w:val="en-MY"/>
        </w:rPr>
        <w:t xml:space="preserve">  </w:t>
      </w:r>
    </w:p>
    <w:p w:rsidR="00C75C28" w:rsidRPr="00C869ED" w:rsidRDefault="00C75C28">
      <w:pPr>
        <w:pStyle w:val="FootnoteText"/>
        <w:rPr>
          <w:lang w:val="en-MY"/>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50"/>
    <w:multiLevelType w:val="hybridMultilevel"/>
    <w:tmpl w:val="C8002174"/>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1" w15:restartNumberingAfterBreak="0">
    <w:nsid w:val="03B738CB"/>
    <w:multiLevelType w:val="hybridMultilevel"/>
    <w:tmpl w:val="18B64CE4"/>
    <w:lvl w:ilvl="0" w:tplc="252A103E">
      <w:start w:val="1"/>
      <w:numFmt w:val="bullet"/>
      <w:lvlText w:val=""/>
      <w:lvlJc w:val="left"/>
      <w:pPr>
        <w:tabs>
          <w:tab w:val="num" w:pos="720"/>
        </w:tabs>
        <w:ind w:left="720" w:hanging="360"/>
      </w:pPr>
      <w:rPr>
        <w:rFonts w:ascii="Wingdings" w:hAnsi="Wingdings" w:hint="default"/>
      </w:rPr>
    </w:lvl>
    <w:lvl w:ilvl="1" w:tplc="7BF268C8" w:tentative="1">
      <w:start w:val="1"/>
      <w:numFmt w:val="bullet"/>
      <w:lvlText w:val=""/>
      <w:lvlJc w:val="left"/>
      <w:pPr>
        <w:tabs>
          <w:tab w:val="num" w:pos="1440"/>
        </w:tabs>
        <w:ind w:left="1440" w:hanging="360"/>
      </w:pPr>
      <w:rPr>
        <w:rFonts w:ascii="Wingdings" w:hAnsi="Wingdings" w:hint="default"/>
      </w:rPr>
    </w:lvl>
    <w:lvl w:ilvl="2" w:tplc="32EE358E" w:tentative="1">
      <w:start w:val="1"/>
      <w:numFmt w:val="bullet"/>
      <w:lvlText w:val=""/>
      <w:lvlJc w:val="left"/>
      <w:pPr>
        <w:tabs>
          <w:tab w:val="num" w:pos="2160"/>
        </w:tabs>
        <w:ind w:left="2160" w:hanging="360"/>
      </w:pPr>
      <w:rPr>
        <w:rFonts w:ascii="Wingdings" w:hAnsi="Wingdings" w:hint="default"/>
      </w:rPr>
    </w:lvl>
    <w:lvl w:ilvl="3" w:tplc="0DB066B4" w:tentative="1">
      <w:start w:val="1"/>
      <w:numFmt w:val="bullet"/>
      <w:lvlText w:val=""/>
      <w:lvlJc w:val="left"/>
      <w:pPr>
        <w:tabs>
          <w:tab w:val="num" w:pos="2880"/>
        </w:tabs>
        <w:ind w:left="2880" w:hanging="360"/>
      </w:pPr>
      <w:rPr>
        <w:rFonts w:ascii="Wingdings" w:hAnsi="Wingdings" w:hint="default"/>
      </w:rPr>
    </w:lvl>
    <w:lvl w:ilvl="4" w:tplc="68E6C030" w:tentative="1">
      <w:start w:val="1"/>
      <w:numFmt w:val="bullet"/>
      <w:lvlText w:val=""/>
      <w:lvlJc w:val="left"/>
      <w:pPr>
        <w:tabs>
          <w:tab w:val="num" w:pos="3600"/>
        </w:tabs>
        <w:ind w:left="3600" w:hanging="360"/>
      </w:pPr>
      <w:rPr>
        <w:rFonts w:ascii="Wingdings" w:hAnsi="Wingdings" w:hint="default"/>
      </w:rPr>
    </w:lvl>
    <w:lvl w:ilvl="5" w:tplc="6562FE5C" w:tentative="1">
      <w:start w:val="1"/>
      <w:numFmt w:val="bullet"/>
      <w:lvlText w:val=""/>
      <w:lvlJc w:val="left"/>
      <w:pPr>
        <w:tabs>
          <w:tab w:val="num" w:pos="4320"/>
        </w:tabs>
        <w:ind w:left="4320" w:hanging="360"/>
      </w:pPr>
      <w:rPr>
        <w:rFonts w:ascii="Wingdings" w:hAnsi="Wingdings" w:hint="default"/>
      </w:rPr>
    </w:lvl>
    <w:lvl w:ilvl="6" w:tplc="BC966098" w:tentative="1">
      <w:start w:val="1"/>
      <w:numFmt w:val="bullet"/>
      <w:lvlText w:val=""/>
      <w:lvlJc w:val="left"/>
      <w:pPr>
        <w:tabs>
          <w:tab w:val="num" w:pos="5040"/>
        </w:tabs>
        <w:ind w:left="5040" w:hanging="360"/>
      </w:pPr>
      <w:rPr>
        <w:rFonts w:ascii="Wingdings" w:hAnsi="Wingdings" w:hint="default"/>
      </w:rPr>
    </w:lvl>
    <w:lvl w:ilvl="7" w:tplc="38FEB632" w:tentative="1">
      <w:start w:val="1"/>
      <w:numFmt w:val="bullet"/>
      <w:lvlText w:val=""/>
      <w:lvlJc w:val="left"/>
      <w:pPr>
        <w:tabs>
          <w:tab w:val="num" w:pos="5760"/>
        </w:tabs>
        <w:ind w:left="5760" w:hanging="360"/>
      </w:pPr>
      <w:rPr>
        <w:rFonts w:ascii="Wingdings" w:hAnsi="Wingdings" w:hint="default"/>
      </w:rPr>
    </w:lvl>
    <w:lvl w:ilvl="8" w:tplc="3B9667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14AE5"/>
    <w:multiLevelType w:val="hybridMultilevel"/>
    <w:tmpl w:val="E6C48496"/>
    <w:lvl w:ilvl="0" w:tplc="C514050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76A70"/>
    <w:multiLevelType w:val="hybridMultilevel"/>
    <w:tmpl w:val="4B0455C2"/>
    <w:lvl w:ilvl="0" w:tplc="77406022">
      <w:start w:val="1"/>
      <w:numFmt w:val="bullet"/>
      <w:lvlText w:val="–"/>
      <w:lvlJc w:val="left"/>
      <w:pPr>
        <w:tabs>
          <w:tab w:val="num" w:pos="720"/>
        </w:tabs>
        <w:ind w:left="720" w:hanging="360"/>
      </w:pPr>
      <w:rPr>
        <w:rFonts w:ascii="Times New Roman" w:hAnsi="Times New Roman" w:hint="default"/>
      </w:rPr>
    </w:lvl>
    <w:lvl w:ilvl="1" w:tplc="4E80D61A">
      <w:start w:val="1"/>
      <w:numFmt w:val="bullet"/>
      <w:lvlText w:val="–"/>
      <w:lvlJc w:val="left"/>
      <w:pPr>
        <w:tabs>
          <w:tab w:val="num" w:pos="1440"/>
        </w:tabs>
        <w:ind w:left="1440" w:hanging="360"/>
      </w:pPr>
      <w:rPr>
        <w:rFonts w:ascii="Times New Roman" w:hAnsi="Times New Roman" w:hint="default"/>
      </w:rPr>
    </w:lvl>
    <w:lvl w:ilvl="2" w:tplc="40123FE2" w:tentative="1">
      <w:start w:val="1"/>
      <w:numFmt w:val="bullet"/>
      <w:lvlText w:val="–"/>
      <w:lvlJc w:val="left"/>
      <w:pPr>
        <w:tabs>
          <w:tab w:val="num" w:pos="2160"/>
        </w:tabs>
        <w:ind w:left="2160" w:hanging="360"/>
      </w:pPr>
      <w:rPr>
        <w:rFonts w:ascii="Times New Roman" w:hAnsi="Times New Roman" w:hint="default"/>
      </w:rPr>
    </w:lvl>
    <w:lvl w:ilvl="3" w:tplc="424E33DA" w:tentative="1">
      <w:start w:val="1"/>
      <w:numFmt w:val="bullet"/>
      <w:lvlText w:val="–"/>
      <w:lvlJc w:val="left"/>
      <w:pPr>
        <w:tabs>
          <w:tab w:val="num" w:pos="2880"/>
        </w:tabs>
        <w:ind w:left="2880" w:hanging="360"/>
      </w:pPr>
      <w:rPr>
        <w:rFonts w:ascii="Times New Roman" w:hAnsi="Times New Roman" w:hint="default"/>
      </w:rPr>
    </w:lvl>
    <w:lvl w:ilvl="4" w:tplc="848ED382" w:tentative="1">
      <w:start w:val="1"/>
      <w:numFmt w:val="bullet"/>
      <w:lvlText w:val="–"/>
      <w:lvlJc w:val="left"/>
      <w:pPr>
        <w:tabs>
          <w:tab w:val="num" w:pos="3600"/>
        </w:tabs>
        <w:ind w:left="3600" w:hanging="360"/>
      </w:pPr>
      <w:rPr>
        <w:rFonts w:ascii="Times New Roman" w:hAnsi="Times New Roman" w:hint="default"/>
      </w:rPr>
    </w:lvl>
    <w:lvl w:ilvl="5" w:tplc="9A7891FA" w:tentative="1">
      <w:start w:val="1"/>
      <w:numFmt w:val="bullet"/>
      <w:lvlText w:val="–"/>
      <w:lvlJc w:val="left"/>
      <w:pPr>
        <w:tabs>
          <w:tab w:val="num" w:pos="4320"/>
        </w:tabs>
        <w:ind w:left="4320" w:hanging="360"/>
      </w:pPr>
      <w:rPr>
        <w:rFonts w:ascii="Times New Roman" w:hAnsi="Times New Roman" w:hint="default"/>
      </w:rPr>
    </w:lvl>
    <w:lvl w:ilvl="6" w:tplc="A5262734" w:tentative="1">
      <w:start w:val="1"/>
      <w:numFmt w:val="bullet"/>
      <w:lvlText w:val="–"/>
      <w:lvlJc w:val="left"/>
      <w:pPr>
        <w:tabs>
          <w:tab w:val="num" w:pos="5040"/>
        </w:tabs>
        <w:ind w:left="5040" w:hanging="360"/>
      </w:pPr>
      <w:rPr>
        <w:rFonts w:ascii="Times New Roman" w:hAnsi="Times New Roman" w:hint="default"/>
      </w:rPr>
    </w:lvl>
    <w:lvl w:ilvl="7" w:tplc="81BA2CE8" w:tentative="1">
      <w:start w:val="1"/>
      <w:numFmt w:val="bullet"/>
      <w:lvlText w:val="–"/>
      <w:lvlJc w:val="left"/>
      <w:pPr>
        <w:tabs>
          <w:tab w:val="num" w:pos="5760"/>
        </w:tabs>
        <w:ind w:left="5760" w:hanging="360"/>
      </w:pPr>
      <w:rPr>
        <w:rFonts w:ascii="Times New Roman" w:hAnsi="Times New Roman" w:hint="default"/>
      </w:rPr>
    </w:lvl>
    <w:lvl w:ilvl="8" w:tplc="37FE59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6A0C3A"/>
    <w:multiLevelType w:val="hybridMultilevel"/>
    <w:tmpl w:val="25A6C1A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7A6D3F"/>
    <w:multiLevelType w:val="hybridMultilevel"/>
    <w:tmpl w:val="AA40FA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BF2F90"/>
    <w:multiLevelType w:val="hybridMultilevel"/>
    <w:tmpl w:val="B1B2A2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F928CC"/>
    <w:multiLevelType w:val="hybridMultilevel"/>
    <w:tmpl w:val="CDD875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B81EE5"/>
    <w:multiLevelType w:val="hybridMultilevel"/>
    <w:tmpl w:val="FEF499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9D0580"/>
    <w:multiLevelType w:val="hybridMultilevel"/>
    <w:tmpl w:val="6B984230"/>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0" w15:restartNumberingAfterBreak="0">
    <w:nsid w:val="20A47872"/>
    <w:multiLevelType w:val="hybridMultilevel"/>
    <w:tmpl w:val="33F4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6209BC"/>
    <w:multiLevelType w:val="hybridMultilevel"/>
    <w:tmpl w:val="2F7E48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5C578D"/>
    <w:multiLevelType w:val="hybridMultilevel"/>
    <w:tmpl w:val="2C1EF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BD7BBF"/>
    <w:multiLevelType w:val="hybridMultilevel"/>
    <w:tmpl w:val="28EC4C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783F76"/>
    <w:multiLevelType w:val="hybridMultilevel"/>
    <w:tmpl w:val="8CD06E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9A06F4D"/>
    <w:multiLevelType w:val="multilevel"/>
    <w:tmpl w:val="6A62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16B60"/>
    <w:multiLevelType w:val="hybridMultilevel"/>
    <w:tmpl w:val="23A83AC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7" w15:restartNumberingAfterBreak="0">
    <w:nsid w:val="39C153A5"/>
    <w:multiLevelType w:val="hybridMultilevel"/>
    <w:tmpl w:val="720EE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855DE5"/>
    <w:multiLevelType w:val="hybridMultilevel"/>
    <w:tmpl w:val="9BDCDD2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1466753"/>
    <w:multiLevelType w:val="hybridMultilevel"/>
    <w:tmpl w:val="438A71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002E93"/>
    <w:multiLevelType w:val="hybridMultilevel"/>
    <w:tmpl w:val="A90E0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6E72C3"/>
    <w:multiLevelType w:val="hybridMultilevel"/>
    <w:tmpl w:val="D6F4E0DE"/>
    <w:lvl w:ilvl="0" w:tplc="21BEC562">
      <w:start w:val="1"/>
      <w:numFmt w:val="bullet"/>
      <w:lvlText w:val=""/>
      <w:lvlJc w:val="left"/>
      <w:pPr>
        <w:tabs>
          <w:tab w:val="num" w:pos="720"/>
        </w:tabs>
        <w:ind w:left="720" w:hanging="360"/>
      </w:pPr>
      <w:rPr>
        <w:rFonts w:ascii="Wingdings" w:hAnsi="Wingdings" w:hint="default"/>
      </w:rPr>
    </w:lvl>
    <w:lvl w:ilvl="1" w:tplc="F73A2E76" w:tentative="1">
      <w:start w:val="1"/>
      <w:numFmt w:val="bullet"/>
      <w:lvlText w:val=""/>
      <w:lvlJc w:val="left"/>
      <w:pPr>
        <w:tabs>
          <w:tab w:val="num" w:pos="1440"/>
        </w:tabs>
        <w:ind w:left="1440" w:hanging="360"/>
      </w:pPr>
      <w:rPr>
        <w:rFonts w:ascii="Wingdings" w:hAnsi="Wingdings" w:hint="default"/>
      </w:rPr>
    </w:lvl>
    <w:lvl w:ilvl="2" w:tplc="E660847C" w:tentative="1">
      <w:start w:val="1"/>
      <w:numFmt w:val="bullet"/>
      <w:lvlText w:val=""/>
      <w:lvlJc w:val="left"/>
      <w:pPr>
        <w:tabs>
          <w:tab w:val="num" w:pos="2160"/>
        </w:tabs>
        <w:ind w:left="2160" w:hanging="360"/>
      </w:pPr>
      <w:rPr>
        <w:rFonts w:ascii="Wingdings" w:hAnsi="Wingdings" w:hint="default"/>
      </w:rPr>
    </w:lvl>
    <w:lvl w:ilvl="3" w:tplc="F50A0A36" w:tentative="1">
      <w:start w:val="1"/>
      <w:numFmt w:val="bullet"/>
      <w:lvlText w:val=""/>
      <w:lvlJc w:val="left"/>
      <w:pPr>
        <w:tabs>
          <w:tab w:val="num" w:pos="2880"/>
        </w:tabs>
        <w:ind w:left="2880" w:hanging="360"/>
      </w:pPr>
      <w:rPr>
        <w:rFonts w:ascii="Wingdings" w:hAnsi="Wingdings" w:hint="default"/>
      </w:rPr>
    </w:lvl>
    <w:lvl w:ilvl="4" w:tplc="2E92F872" w:tentative="1">
      <w:start w:val="1"/>
      <w:numFmt w:val="bullet"/>
      <w:lvlText w:val=""/>
      <w:lvlJc w:val="left"/>
      <w:pPr>
        <w:tabs>
          <w:tab w:val="num" w:pos="3600"/>
        </w:tabs>
        <w:ind w:left="3600" w:hanging="360"/>
      </w:pPr>
      <w:rPr>
        <w:rFonts w:ascii="Wingdings" w:hAnsi="Wingdings" w:hint="default"/>
      </w:rPr>
    </w:lvl>
    <w:lvl w:ilvl="5" w:tplc="D7124C3C" w:tentative="1">
      <w:start w:val="1"/>
      <w:numFmt w:val="bullet"/>
      <w:lvlText w:val=""/>
      <w:lvlJc w:val="left"/>
      <w:pPr>
        <w:tabs>
          <w:tab w:val="num" w:pos="4320"/>
        </w:tabs>
        <w:ind w:left="4320" w:hanging="360"/>
      </w:pPr>
      <w:rPr>
        <w:rFonts w:ascii="Wingdings" w:hAnsi="Wingdings" w:hint="default"/>
      </w:rPr>
    </w:lvl>
    <w:lvl w:ilvl="6" w:tplc="1F2C4184" w:tentative="1">
      <w:start w:val="1"/>
      <w:numFmt w:val="bullet"/>
      <w:lvlText w:val=""/>
      <w:lvlJc w:val="left"/>
      <w:pPr>
        <w:tabs>
          <w:tab w:val="num" w:pos="5040"/>
        </w:tabs>
        <w:ind w:left="5040" w:hanging="360"/>
      </w:pPr>
      <w:rPr>
        <w:rFonts w:ascii="Wingdings" w:hAnsi="Wingdings" w:hint="default"/>
      </w:rPr>
    </w:lvl>
    <w:lvl w:ilvl="7" w:tplc="EF5ADDC0" w:tentative="1">
      <w:start w:val="1"/>
      <w:numFmt w:val="bullet"/>
      <w:lvlText w:val=""/>
      <w:lvlJc w:val="left"/>
      <w:pPr>
        <w:tabs>
          <w:tab w:val="num" w:pos="5760"/>
        </w:tabs>
        <w:ind w:left="5760" w:hanging="360"/>
      </w:pPr>
      <w:rPr>
        <w:rFonts w:ascii="Wingdings" w:hAnsi="Wingdings" w:hint="default"/>
      </w:rPr>
    </w:lvl>
    <w:lvl w:ilvl="8" w:tplc="9CACF5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CF329C"/>
    <w:multiLevelType w:val="hybridMultilevel"/>
    <w:tmpl w:val="6FAA4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E363F0"/>
    <w:multiLevelType w:val="hybridMultilevel"/>
    <w:tmpl w:val="923691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8A5F59"/>
    <w:multiLevelType w:val="hybridMultilevel"/>
    <w:tmpl w:val="33F46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B86B60"/>
    <w:multiLevelType w:val="hybridMultilevel"/>
    <w:tmpl w:val="150CD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EB2182C"/>
    <w:multiLevelType w:val="hybridMultilevel"/>
    <w:tmpl w:val="251AC5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060D67"/>
    <w:multiLevelType w:val="hybridMultilevel"/>
    <w:tmpl w:val="64405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8EC00C2"/>
    <w:multiLevelType w:val="hybridMultilevel"/>
    <w:tmpl w:val="5FF6D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EC6067"/>
    <w:multiLevelType w:val="hybridMultilevel"/>
    <w:tmpl w:val="1CEAC2B4"/>
    <w:lvl w:ilvl="0" w:tplc="FE104358">
      <w:start w:val="1"/>
      <w:numFmt w:val="bullet"/>
      <w:lvlText w:val=""/>
      <w:lvlJc w:val="left"/>
      <w:pPr>
        <w:tabs>
          <w:tab w:val="num" w:pos="720"/>
        </w:tabs>
        <w:ind w:left="720" w:hanging="360"/>
      </w:pPr>
      <w:rPr>
        <w:rFonts w:ascii="Wingdings" w:hAnsi="Wingdings" w:hint="default"/>
      </w:rPr>
    </w:lvl>
    <w:lvl w:ilvl="1" w:tplc="150CC98A" w:tentative="1">
      <w:start w:val="1"/>
      <w:numFmt w:val="bullet"/>
      <w:lvlText w:val=""/>
      <w:lvlJc w:val="left"/>
      <w:pPr>
        <w:tabs>
          <w:tab w:val="num" w:pos="1440"/>
        </w:tabs>
        <w:ind w:left="1440" w:hanging="360"/>
      </w:pPr>
      <w:rPr>
        <w:rFonts w:ascii="Wingdings" w:hAnsi="Wingdings" w:hint="default"/>
      </w:rPr>
    </w:lvl>
    <w:lvl w:ilvl="2" w:tplc="61E64C42" w:tentative="1">
      <w:start w:val="1"/>
      <w:numFmt w:val="bullet"/>
      <w:lvlText w:val=""/>
      <w:lvlJc w:val="left"/>
      <w:pPr>
        <w:tabs>
          <w:tab w:val="num" w:pos="2160"/>
        </w:tabs>
        <w:ind w:left="2160" w:hanging="360"/>
      </w:pPr>
      <w:rPr>
        <w:rFonts w:ascii="Wingdings" w:hAnsi="Wingdings" w:hint="default"/>
      </w:rPr>
    </w:lvl>
    <w:lvl w:ilvl="3" w:tplc="D64256FE" w:tentative="1">
      <w:start w:val="1"/>
      <w:numFmt w:val="bullet"/>
      <w:lvlText w:val=""/>
      <w:lvlJc w:val="left"/>
      <w:pPr>
        <w:tabs>
          <w:tab w:val="num" w:pos="2880"/>
        </w:tabs>
        <w:ind w:left="2880" w:hanging="360"/>
      </w:pPr>
      <w:rPr>
        <w:rFonts w:ascii="Wingdings" w:hAnsi="Wingdings" w:hint="default"/>
      </w:rPr>
    </w:lvl>
    <w:lvl w:ilvl="4" w:tplc="DB4C87BA" w:tentative="1">
      <w:start w:val="1"/>
      <w:numFmt w:val="bullet"/>
      <w:lvlText w:val=""/>
      <w:lvlJc w:val="left"/>
      <w:pPr>
        <w:tabs>
          <w:tab w:val="num" w:pos="3600"/>
        </w:tabs>
        <w:ind w:left="3600" w:hanging="360"/>
      </w:pPr>
      <w:rPr>
        <w:rFonts w:ascii="Wingdings" w:hAnsi="Wingdings" w:hint="default"/>
      </w:rPr>
    </w:lvl>
    <w:lvl w:ilvl="5" w:tplc="4AFAED68" w:tentative="1">
      <w:start w:val="1"/>
      <w:numFmt w:val="bullet"/>
      <w:lvlText w:val=""/>
      <w:lvlJc w:val="left"/>
      <w:pPr>
        <w:tabs>
          <w:tab w:val="num" w:pos="4320"/>
        </w:tabs>
        <w:ind w:left="4320" w:hanging="360"/>
      </w:pPr>
      <w:rPr>
        <w:rFonts w:ascii="Wingdings" w:hAnsi="Wingdings" w:hint="default"/>
      </w:rPr>
    </w:lvl>
    <w:lvl w:ilvl="6" w:tplc="42AE8B74" w:tentative="1">
      <w:start w:val="1"/>
      <w:numFmt w:val="bullet"/>
      <w:lvlText w:val=""/>
      <w:lvlJc w:val="left"/>
      <w:pPr>
        <w:tabs>
          <w:tab w:val="num" w:pos="5040"/>
        </w:tabs>
        <w:ind w:left="5040" w:hanging="360"/>
      </w:pPr>
      <w:rPr>
        <w:rFonts w:ascii="Wingdings" w:hAnsi="Wingdings" w:hint="default"/>
      </w:rPr>
    </w:lvl>
    <w:lvl w:ilvl="7" w:tplc="85C075FA" w:tentative="1">
      <w:start w:val="1"/>
      <w:numFmt w:val="bullet"/>
      <w:lvlText w:val=""/>
      <w:lvlJc w:val="left"/>
      <w:pPr>
        <w:tabs>
          <w:tab w:val="num" w:pos="5760"/>
        </w:tabs>
        <w:ind w:left="5760" w:hanging="360"/>
      </w:pPr>
      <w:rPr>
        <w:rFonts w:ascii="Wingdings" w:hAnsi="Wingdings" w:hint="default"/>
      </w:rPr>
    </w:lvl>
    <w:lvl w:ilvl="8" w:tplc="962C7C4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C410E"/>
    <w:multiLevelType w:val="hybridMultilevel"/>
    <w:tmpl w:val="1138D2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ED48BD"/>
    <w:multiLevelType w:val="hybridMultilevel"/>
    <w:tmpl w:val="620A72E6"/>
    <w:lvl w:ilvl="0" w:tplc="04240001">
      <w:start w:val="1"/>
      <w:numFmt w:val="bullet"/>
      <w:lvlText w:val=""/>
      <w:lvlJc w:val="left"/>
      <w:pPr>
        <w:ind w:left="776" w:hanging="360"/>
      </w:pPr>
      <w:rPr>
        <w:rFonts w:ascii="Symbol" w:hAnsi="Symbol"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32" w15:restartNumberingAfterBreak="0">
    <w:nsid w:val="773156B4"/>
    <w:multiLevelType w:val="hybridMultilevel"/>
    <w:tmpl w:val="C88E9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0A66C4"/>
    <w:multiLevelType w:val="hybridMultilevel"/>
    <w:tmpl w:val="96140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12"/>
  </w:num>
  <w:num w:numId="5">
    <w:abstractNumId w:val="5"/>
  </w:num>
  <w:num w:numId="6">
    <w:abstractNumId w:val="4"/>
  </w:num>
  <w:num w:numId="7">
    <w:abstractNumId w:val="1"/>
  </w:num>
  <w:num w:numId="8">
    <w:abstractNumId w:val="3"/>
  </w:num>
  <w:num w:numId="9">
    <w:abstractNumId w:val="32"/>
  </w:num>
  <w:num w:numId="10">
    <w:abstractNumId w:val="28"/>
  </w:num>
  <w:num w:numId="11">
    <w:abstractNumId w:val="8"/>
  </w:num>
  <w:num w:numId="12">
    <w:abstractNumId w:val="21"/>
  </w:num>
  <w:num w:numId="13">
    <w:abstractNumId w:val="29"/>
  </w:num>
  <w:num w:numId="14">
    <w:abstractNumId w:val="9"/>
  </w:num>
  <w:num w:numId="15">
    <w:abstractNumId w:val="15"/>
  </w:num>
  <w:num w:numId="16">
    <w:abstractNumId w:val="27"/>
  </w:num>
  <w:num w:numId="17">
    <w:abstractNumId w:val="33"/>
  </w:num>
  <w:num w:numId="18">
    <w:abstractNumId w:val="26"/>
  </w:num>
  <w:num w:numId="19">
    <w:abstractNumId w:val="11"/>
  </w:num>
  <w:num w:numId="20">
    <w:abstractNumId w:val="23"/>
  </w:num>
  <w:num w:numId="21">
    <w:abstractNumId w:val="14"/>
  </w:num>
  <w:num w:numId="22">
    <w:abstractNumId w:val="18"/>
  </w:num>
  <w:num w:numId="23">
    <w:abstractNumId w:val="25"/>
  </w:num>
  <w:num w:numId="24">
    <w:abstractNumId w:val="2"/>
  </w:num>
  <w:num w:numId="25">
    <w:abstractNumId w:val="30"/>
  </w:num>
  <w:num w:numId="26">
    <w:abstractNumId w:val="24"/>
  </w:num>
  <w:num w:numId="27">
    <w:abstractNumId w:val="13"/>
  </w:num>
  <w:num w:numId="28">
    <w:abstractNumId w:val="16"/>
  </w:num>
  <w:num w:numId="29">
    <w:abstractNumId w:val="31"/>
  </w:num>
  <w:num w:numId="30">
    <w:abstractNumId w:val="20"/>
  </w:num>
  <w:num w:numId="31">
    <w:abstractNumId w:val="17"/>
  </w:num>
  <w:num w:numId="32">
    <w:abstractNumId w:val="6"/>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43"/>
    <w:rsid w:val="00006865"/>
    <w:rsid w:val="0001645D"/>
    <w:rsid w:val="0002010E"/>
    <w:rsid w:val="0002200D"/>
    <w:rsid w:val="00034E2A"/>
    <w:rsid w:val="00037226"/>
    <w:rsid w:val="00053E43"/>
    <w:rsid w:val="00063409"/>
    <w:rsid w:val="000800E5"/>
    <w:rsid w:val="000847D1"/>
    <w:rsid w:val="000A16FE"/>
    <w:rsid w:val="000B16FA"/>
    <w:rsid w:val="000B3B22"/>
    <w:rsid w:val="000B730B"/>
    <w:rsid w:val="000C24D5"/>
    <w:rsid w:val="000C5FA5"/>
    <w:rsid w:val="000D1002"/>
    <w:rsid w:val="000D1512"/>
    <w:rsid w:val="000D30F6"/>
    <w:rsid w:val="000D3E23"/>
    <w:rsid w:val="000E29E7"/>
    <w:rsid w:val="000E3FF6"/>
    <w:rsid w:val="000E782D"/>
    <w:rsid w:val="000F13B8"/>
    <w:rsid w:val="00107AD9"/>
    <w:rsid w:val="00115B93"/>
    <w:rsid w:val="0012393B"/>
    <w:rsid w:val="00141F57"/>
    <w:rsid w:val="00166319"/>
    <w:rsid w:val="00173474"/>
    <w:rsid w:val="00186D18"/>
    <w:rsid w:val="001A0394"/>
    <w:rsid w:val="001A25D0"/>
    <w:rsid w:val="001A30C1"/>
    <w:rsid w:val="001A5C32"/>
    <w:rsid w:val="001B49C0"/>
    <w:rsid w:val="001C15F8"/>
    <w:rsid w:val="001C31E5"/>
    <w:rsid w:val="001F006B"/>
    <w:rsid w:val="001F3D16"/>
    <w:rsid w:val="001F6306"/>
    <w:rsid w:val="00205FDF"/>
    <w:rsid w:val="00207715"/>
    <w:rsid w:val="00212A25"/>
    <w:rsid w:val="00221E1C"/>
    <w:rsid w:val="002233EA"/>
    <w:rsid w:val="00223A4F"/>
    <w:rsid w:val="00227951"/>
    <w:rsid w:val="00234CE6"/>
    <w:rsid w:val="00235704"/>
    <w:rsid w:val="00247DD2"/>
    <w:rsid w:val="002509C5"/>
    <w:rsid w:val="0025249A"/>
    <w:rsid w:val="002612A4"/>
    <w:rsid w:val="00264C2A"/>
    <w:rsid w:val="00265693"/>
    <w:rsid w:val="00270E40"/>
    <w:rsid w:val="00284559"/>
    <w:rsid w:val="002931BE"/>
    <w:rsid w:val="00293B7D"/>
    <w:rsid w:val="00294B0C"/>
    <w:rsid w:val="002B64AF"/>
    <w:rsid w:val="002C1063"/>
    <w:rsid w:val="002E506F"/>
    <w:rsid w:val="002F1BD7"/>
    <w:rsid w:val="002F39CE"/>
    <w:rsid w:val="002F4D73"/>
    <w:rsid w:val="002F7F56"/>
    <w:rsid w:val="00320799"/>
    <w:rsid w:val="00322754"/>
    <w:rsid w:val="003234D5"/>
    <w:rsid w:val="00350C8E"/>
    <w:rsid w:val="00385AB1"/>
    <w:rsid w:val="0038712D"/>
    <w:rsid w:val="0038728A"/>
    <w:rsid w:val="00394219"/>
    <w:rsid w:val="003960BF"/>
    <w:rsid w:val="003A199B"/>
    <w:rsid w:val="003B6A2E"/>
    <w:rsid w:val="003C2288"/>
    <w:rsid w:val="003D7741"/>
    <w:rsid w:val="00421C97"/>
    <w:rsid w:val="004258A1"/>
    <w:rsid w:val="0043210C"/>
    <w:rsid w:val="00440560"/>
    <w:rsid w:val="004508B4"/>
    <w:rsid w:val="004557D8"/>
    <w:rsid w:val="0047400F"/>
    <w:rsid w:val="00474A2A"/>
    <w:rsid w:val="004816BA"/>
    <w:rsid w:val="00481F49"/>
    <w:rsid w:val="00485FAC"/>
    <w:rsid w:val="00490119"/>
    <w:rsid w:val="004937BA"/>
    <w:rsid w:val="004A56C5"/>
    <w:rsid w:val="004A6038"/>
    <w:rsid w:val="004A6CCC"/>
    <w:rsid w:val="004C1E93"/>
    <w:rsid w:val="004C25D3"/>
    <w:rsid w:val="004C4CD8"/>
    <w:rsid w:val="004D1EA3"/>
    <w:rsid w:val="004F1B94"/>
    <w:rsid w:val="005022B7"/>
    <w:rsid w:val="005050E9"/>
    <w:rsid w:val="00505657"/>
    <w:rsid w:val="00511C8D"/>
    <w:rsid w:val="005133FB"/>
    <w:rsid w:val="0053385A"/>
    <w:rsid w:val="00540786"/>
    <w:rsid w:val="005426A6"/>
    <w:rsid w:val="00547144"/>
    <w:rsid w:val="00564AA4"/>
    <w:rsid w:val="00567868"/>
    <w:rsid w:val="00587175"/>
    <w:rsid w:val="005A4D1D"/>
    <w:rsid w:val="005A629B"/>
    <w:rsid w:val="005B2992"/>
    <w:rsid w:val="005B6A03"/>
    <w:rsid w:val="005B7FE1"/>
    <w:rsid w:val="005C33DA"/>
    <w:rsid w:val="005C4DB3"/>
    <w:rsid w:val="005F1DE5"/>
    <w:rsid w:val="005F7C3D"/>
    <w:rsid w:val="00601952"/>
    <w:rsid w:val="00625471"/>
    <w:rsid w:val="00631AEA"/>
    <w:rsid w:val="00631C80"/>
    <w:rsid w:val="00635B06"/>
    <w:rsid w:val="0063683F"/>
    <w:rsid w:val="00642AE2"/>
    <w:rsid w:val="0064323C"/>
    <w:rsid w:val="006567C5"/>
    <w:rsid w:val="00660D12"/>
    <w:rsid w:val="00680A2E"/>
    <w:rsid w:val="00682B67"/>
    <w:rsid w:val="00696CCA"/>
    <w:rsid w:val="006A6768"/>
    <w:rsid w:val="006B4448"/>
    <w:rsid w:val="006C0DC8"/>
    <w:rsid w:val="006C3508"/>
    <w:rsid w:val="006C6039"/>
    <w:rsid w:val="006D1EF8"/>
    <w:rsid w:val="007019A1"/>
    <w:rsid w:val="00705087"/>
    <w:rsid w:val="00721A11"/>
    <w:rsid w:val="0073506E"/>
    <w:rsid w:val="00735F76"/>
    <w:rsid w:val="00743563"/>
    <w:rsid w:val="00757C1D"/>
    <w:rsid w:val="0077170D"/>
    <w:rsid w:val="00781D2F"/>
    <w:rsid w:val="00785981"/>
    <w:rsid w:val="0079129B"/>
    <w:rsid w:val="007947CC"/>
    <w:rsid w:val="007A5092"/>
    <w:rsid w:val="007A56B9"/>
    <w:rsid w:val="007B0E5E"/>
    <w:rsid w:val="007B20B6"/>
    <w:rsid w:val="007B29C9"/>
    <w:rsid w:val="007B3364"/>
    <w:rsid w:val="007C5CAE"/>
    <w:rsid w:val="007E208F"/>
    <w:rsid w:val="007E4E54"/>
    <w:rsid w:val="007E51B1"/>
    <w:rsid w:val="007F2231"/>
    <w:rsid w:val="0080236D"/>
    <w:rsid w:val="00807AFE"/>
    <w:rsid w:val="00825C30"/>
    <w:rsid w:val="00827C5D"/>
    <w:rsid w:val="00833732"/>
    <w:rsid w:val="00846F87"/>
    <w:rsid w:val="008523D3"/>
    <w:rsid w:val="008555CC"/>
    <w:rsid w:val="0085704A"/>
    <w:rsid w:val="00862ECA"/>
    <w:rsid w:val="00876911"/>
    <w:rsid w:val="00880793"/>
    <w:rsid w:val="00882233"/>
    <w:rsid w:val="008901E3"/>
    <w:rsid w:val="00897948"/>
    <w:rsid w:val="008A338C"/>
    <w:rsid w:val="008A7279"/>
    <w:rsid w:val="008B1912"/>
    <w:rsid w:val="008C7277"/>
    <w:rsid w:val="008D365E"/>
    <w:rsid w:val="008D4D61"/>
    <w:rsid w:val="008E7572"/>
    <w:rsid w:val="008F2BDD"/>
    <w:rsid w:val="008F5D21"/>
    <w:rsid w:val="008F7BC0"/>
    <w:rsid w:val="0093010B"/>
    <w:rsid w:val="009314EA"/>
    <w:rsid w:val="00937DDD"/>
    <w:rsid w:val="00940A51"/>
    <w:rsid w:val="00950FB4"/>
    <w:rsid w:val="00953002"/>
    <w:rsid w:val="00955613"/>
    <w:rsid w:val="00955E6D"/>
    <w:rsid w:val="00956B4C"/>
    <w:rsid w:val="00960F54"/>
    <w:rsid w:val="00963FF3"/>
    <w:rsid w:val="00965E45"/>
    <w:rsid w:val="00970CA2"/>
    <w:rsid w:val="009775D1"/>
    <w:rsid w:val="009824C3"/>
    <w:rsid w:val="0099293C"/>
    <w:rsid w:val="009A01EC"/>
    <w:rsid w:val="009B3551"/>
    <w:rsid w:val="009B39A8"/>
    <w:rsid w:val="009C2DA0"/>
    <w:rsid w:val="009D3B44"/>
    <w:rsid w:val="009D783F"/>
    <w:rsid w:val="009E67DC"/>
    <w:rsid w:val="009F08B6"/>
    <w:rsid w:val="009F5D93"/>
    <w:rsid w:val="00A1069E"/>
    <w:rsid w:val="00A12A96"/>
    <w:rsid w:val="00A27AB9"/>
    <w:rsid w:val="00A27BC4"/>
    <w:rsid w:val="00A3190B"/>
    <w:rsid w:val="00A34FDC"/>
    <w:rsid w:val="00A3559D"/>
    <w:rsid w:val="00A36DFA"/>
    <w:rsid w:val="00A40468"/>
    <w:rsid w:val="00A57252"/>
    <w:rsid w:val="00A81B38"/>
    <w:rsid w:val="00A81D9B"/>
    <w:rsid w:val="00A8243A"/>
    <w:rsid w:val="00A8273A"/>
    <w:rsid w:val="00A83EBE"/>
    <w:rsid w:val="00A91C45"/>
    <w:rsid w:val="00A92276"/>
    <w:rsid w:val="00A931FE"/>
    <w:rsid w:val="00AA6C1A"/>
    <w:rsid w:val="00AB30F5"/>
    <w:rsid w:val="00AC5BA3"/>
    <w:rsid w:val="00AE6356"/>
    <w:rsid w:val="00AF4544"/>
    <w:rsid w:val="00AF7AEB"/>
    <w:rsid w:val="00B17816"/>
    <w:rsid w:val="00B2180B"/>
    <w:rsid w:val="00B2482F"/>
    <w:rsid w:val="00B24831"/>
    <w:rsid w:val="00B276F5"/>
    <w:rsid w:val="00B30EBD"/>
    <w:rsid w:val="00B324FB"/>
    <w:rsid w:val="00B32C87"/>
    <w:rsid w:val="00B3680A"/>
    <w:rsid w:val="00B379FE"/>
    <w:rsid w:val="00B40624"/>
    <w:rsid w:val="00B47792"/>
    <w:rsid w:val="00B53F0D"/>
    <w:rsid w:val="00B563C8"/>
    <w:rsid w:val="00B75FB6"/>
    <w:rsid w:val="00B87F31"/>
    <w:rsid w:val="00B956AE"/>
    <w:rsid w:val="00B96904"/>
    <w:rsid w:val="00B97678"/>
    <w:rsid w:val="00BA13D5"/>
    <w:rsid w:val="00BA6D43"/>
    <w:rsid w:val="00BC7AC4"/>
    <w:rsid w:val="00BD15C6"/>
    <w:rsid w:val="00BE030E"/>
    <w:rsid w:val="00BE5788"/>
    <w:rsid w:val="00BF2AED"/>
    <w:rsid w:val="00C209BB"/>
    <w:rsid w:val="00C21811"/>
    <w:rsid w:val="00C24309"/>
    <w:rsid w:val="00C33C89"/>
    <w:rsid w:val="00C33E26"/>
    <w:rsid w:val="00C41681"/>
    <w:rsid w:val="00C47C35"/>
    <w:rsid w:val="00C54F81"/>
    <w:rsid w:val="00C57271"/>
    <w:rsid w:val="00C66156"/>
    <w:rsid w:val="00C73CDC"/>
    <w:rsid w:val="00C748E1"/>
    <w:rsid w:val="00C75C28"/>
    <w:rsid w:val="00C8206D"/>
    <w:rsid w:val="00C869ED"/>
    <w:rsid w:val="00C87977"/>
    <w:rsid w:val="00C87BCE"/>
    <w:rsid w:val="00CB5317"/>
    <w:rsid w:val="00CC3B67"/>
    <w:rsid w:val="00CE737A"/>
    <w:rsid w:val="00CF39A3"/>
    <w:rsid w:val="00CF7004"/>
    <w:rsid w:val="00CF765E"/>
    <w:rsid w:val="00D145A2"/>
    <w:rsid w:val="00D30AAA"/>
    <w:rsid w:val="00D31E40"/>
    <w:rsid w:val="00D44B56"/>
    <w:rsid w:val="00D6309A"/>
    <w:rsid w:val="00D6592A"/>
    <w:rsid w:val="00D773CE"/>
    <w:rsid w:val="00D813D9"/>
    <w:rsid w:val="00D9600A"/>
    <w:rsid w:val="00D97AF3"/>
    <w:rsid w:val="00DA6E7A"/>
    <w:rsid w:val="00DA78EC"/>
    <w:rsid w:val="00DB6DEC"/>
    <w:rsid w:val="00DC0364"/>
    <w:rsid w:val="00DC26DA"/>
    <w:rsid w:val="00DD0E5D"/>
    <w:rsid w:val="00DD5CA4"/>
    <w:rsid w:val="00DE3929"/>
    <w:rsid w:val="00DF2030"/>
    <w:rsid w:val="00E17D95"/>
    <w:rsid w:val="00E44114"/>
    <w:rsid w:val="00E44B0A"/>
    <w:rsid w:val="00E46504"/>
    <w:rsid w:val="00E5201F"/>
    <w:rsid w:val="00E55AC4"/>
    <w:rsid w:val="00E65DF6"/>
    <w:rsid w:val="00E66BCC"/>
    <w:rsid w:val="00E902FF"/>
    <w:rsid w:val="00EA5BB0"/>
    <w:rsid w:val="00EB046E"/>
    <w:rsid w:val="00EB084F"/>
    <w:rsid w:val="00EB11FC"/>
    <w:rsid w:val="00EC275B"/>
    <w:rsid w:val="00EC5417"/>
    <w:rsid w:val="00ED4863"/>
    <w:rsid w:val="00F2662B"/>
    <w:rsid w:val="00F4179C"/>
    <w:rsid w:val="00F570A6"/>
    <w:rsid w:val="00F678F8"/>
    <w:rsid w:val="00F70710"/>
    <w:rsid w:val="00F808CE"/>
    <w:rsid w:val="00F96F50"/>
    <w:rsid w:val="00FA1AEB"/>
    <w:rsid w:val="00FC3767"/>
    <w:rsid w:val="00FF0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1041"/>
  <w15:chartTrackingRefBased/>
  <w15:docId w15:val="{6F66EA33-1D86-4B22-9FAB-A601674A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04"/>
    <w:pPr>
      <w:ind w:left="720"/>
      <w:contextualSpacing/>
    </w:pPr>
  </w:style>
  <w:style w:type="paragraph" w:styleId="FootnoteText">
    <w:name w:val="footnote text"/>
    <w:basedOn w:val="Normal"/>
    <w:link w:val="FootnoteTextChar"/>
    <w:uiPriority w:val="99"/>
    <w:unhideWhenUsed/>
    <w:rsid w:val="0038728A"/>
    <w:pPr>
      <w:spacing w:after="0" w:line="240" w:lineRule="auto"/>
    </w:pPr>
    <w:rPr>
      <w:sz w:val="20"/>
      <w:szCs w:val="20"/>
    </w:rPr>
  </w:style>
  <w:style w:type="character" w:customStyle="1" w:styleId="FootnoteTextChar">
    <w:name w:val="Footnote Text Char"/>
    <w:basedOn w:val="DefaultParagraphFont"/>
    <w:link w:val="FootnoteText"/>
    <w:uiPriority w:val="99"/>
    <w:rsid w:val="0038728A"/>
    <w:rPr>
      <w:sz w:val="20"/>
      <w:szCs w:val="20"/>
    </w:rPr>
  </w:style>
  <w:style w:type="character" w:styleId="FootnoteReference">
    <w:name w:val="footnote reference"/>
    <w:basedOn w:val="DefaultParagraphFont"/>
    <w:uiPriority w:val="99"/>
    <w:semiHidden/>
    <w:unhideWhenUsed/>
    <w:rsid w:val="0038728A"/>
    <w:rPr>
      <w:vertAlign w:val="superscript"/>
    </w:rPr>
  </w:style>
  <w:style w:type="paragraph" w:styleId="NoSpacing">
    <w:name w:val="No Spacing"/>
    <w:uiPriority w:val="1"/>
    <w:qFormat/>
    <w:rsid w:val="00635B06"/>
    <w:pPr>
      <w:spacing w:after="0" w:line="240" w:lineRule="auto"/>
    </w:pPr>
  </w:style>
  <w:style w:type="paragraph" w:styleId="Header">
    <w:name w:val="header"/>
    <w:basedOn w:val="Normal"/>
    <w:link w:val="HeaderChar"/>
    <w:uiPriority w:val="99"/>
    <w:unhideWhenUsed/>
    <w:rsid w:val="00635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B06"/>
  </w:style>
  <w:style w:type="paragraph" w:styleId="Footer">
    <w:name w:val="footer"/>
    <w:basedOn w:val="Normal"/>
    <w:link w:val="FooterChar"/>
    <w:uiPriority w:val="99"/>
    <w:unhideWhenUsed/>
    <w:rsid w:val="00635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B06"/>
  </w:style>
  <w:style w:type="character" w:styleId="Hyperlink">
    <w:name w:val="Hyperlink"/>
    <w:basedOn w:val="DefaultParagraphFont"/>
    <w:uiPriority w:val="99"/>
    <w:unhideWhenUsed/>
    <w:rsid w:val="00490119"/>
    <w:rPr>
      <w:color w:val="0000FF"/>
      <w:u w:val="single"/>
    </w:rPr>
  </w:style>
  <w:style w:type="paragraph" w:customStyle="1" w:styleId="Default">
    <w:name w:val="Default"/>
    <w:rsid w:val="00C87977"/>
    <w:pPr>
      <w:autoSpaceDE w:val="0"/>
      <w:autoSpaceDN w:val="0"/>
      <w:adjustRightInd w:val="0"/>
      <w:spacing w:after="0" w:line="240" w:lineRule="auto"/>
    </w:pPr>
    <w:rPr>
      <w:rFonts w:ascii="Myriad Pro" w:hAnsi="Myriad Pro" w:cs="Myriad Pro"/>
      <w:color w:val="000000"/>
      <w:sz w:val="24"/>
      <w:szCs w:val="24"/>
    </w:rPr>
  </w:style>
  <w:style w:type="character" w:styleId="Strong">
    <w:name w:val="Strong"/>
    <w:basedOn w:val="DefaultParagraphFont"/>
    <w:uiPriority w:val="22"/>
    <w:qFormat/>
    <w:rsid w:val="00953002"/>
    <w:rPr>
      <w:b/>
      <w:bCs/>
    </w:rPr>
  </w:style>
  <w:style w:type="paragraph" w:customStyle="1" w:styleId="Normal1">
    <w:name w:val="Normal1"/>
    <w:basedOn w:val="Normal"/>
    <w:rsid w:val="007B29C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FollowedHyperlink">
    <w:name w:val="FollowedHyperlink"/>
    <w:basedOn w:val="DefaultParagraphFont"/>
    <w:uiPriority w:val="99"/>
    <w:semiHidden/>
    <w:unhideWhenUsed/>
    <w:rsid w:val="007E4E54"/>
    <w:rPr>
      <w:color w:val="954F72" w:themeColor="followedHyperlink"/>
      <w:u w:val="single"/>
    </w:rPr>
  </w:style>
  <w:style w:type="paragraph" w:styleId="BalloonText">
    <w:name w:val="Balloon Text"/>
    <w:basedOn w:val="Normal"/>
    <w:link w:val="BalloonTextChar"/>
    <w:uiPriority w:val="99"/>
    <w:semiHidden/>
    <w:unhideWhenUsed/>
    <w:rsid w:val="007C5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5496">
      <w:bodyDiv w:val="1"/>
      <w:marLeft w:val="0"/>
      <w:marRight w:val="0"/>
      <w:marTop w:val="0"/>
      <w:marBottom w:val="0"/>
      <w:divBdr>
        <w:top w:val="none" w:sz="0" w:space="0" w:color="auto"/>
        <w:left w:val="none" w:sz="0" w:space="0" w:color="auto"/>
        <w:bottom w:val="none" w:sz="0" w:space="0" w:color="auto"/>
        <w:right w:val="none" w:sz="0" w:space="0" w:color="auto"/>
      </w:divBdr>
      <w:divsChild>
        <w:div w:id="222719164">
          <w:marLeft w:val="547"/>
          <w:marRight w:val="0"/>
          <w:marTop w:val="154"/>
          <w:marBottom w:val="0"/>
          <w:divBdr>
            <w:top w:val="none" w:sz="0" w:space="0" w:color="auto"/>
            <w:left w:val="none" w:sz="0" w:space="0" w:color="auto"/>
            <w:bottom w:val="none" w:sz="0" w:space="0" w:color="auto"/>
            <w:right w:val="none" w:sz="0" w:space="0" w:color="auto"/>
          </w:divBdr>
        </w:div>
      </w:divsChild>
    </w:div>
    <w:div w:id="326174804">
      <w:bodyDiv w:val="1"/>
      <w:marLeft w:val="0"/>
      <w:marRight w:val="0"/>
      <w:marTop w:val="0"/>
      <w:marBottom w:val="0"/>
      <w:divBdr>
        <w:top w:val="none" w:sz="0" w:space="0" w:color="auto"/>
        <w:left w:val="none" w:sz="0" w:space="0" w:color="auto"/>
        <w:bottom w:val="none" w:sz="0" w:space="0" w:color="auto"/>
        <w:right w:val="none" w:sz="0" w:space="0" w:color="auto"/>
      </w:divBdr>
      <w:divsChild>
        <w:div w:id="962929880">
          <w:marLeft w:val="547"/>
          <w:marRight w:val="0"/>
          <w:marTop w:val="154"/>
          <w:marBottom w:val="0"/>
          <w:divBdr>
            <w:top w:val="none" w:sz="0" w:space="0" w:color="auto"/>
            <w:left w:val="none" w:sz="0" w:space="0" w:color="auto"/>
            <w:bottom w:val="none" w:sz="0" w:space="0" w:color="auto"/>
            <w:right w:val="none" w:sz="0" w:space="0" w:color="auto"/>
          </w:divBdr>
        </w:div>
      </w:divsChild>
    </w:div>
    <w:div w:id="389041829">
      <w:bodyDiv w:val="1"/>
      <w:marLeft w:val="0"/>
      <w:marRight w:val="0"/>
      <w:marTop w:val="0"/>
      <w:marBottom w:val="0"/>
      <w:divBdr>
        <w:top w:val="none" w:sz="0" w:space="0" w:color="auto"/>
        <w:left w:val="none" w:sz="0" w:space="0" w:color="auto"/>
        <w:bottom w:val="none" w:sz="0" w:space="0" w:color="auto"/>
        <w:right w:val="none" w:sz="0" w:space="0" w:color="auto"/>
      </w:divBdr>
      <w:divsChild>
        <w:div w:id="373039037">
          <w:marLeft w:val="1166"/>
          <w:marRight w:val="0"/>
          <w:marTop w:val="134"/>
          <w:marBottom w:val="0"/>
          <w:divBdr>
            <w:top w:val="none" w:sz="0" w:space="0" w:color="auto"/>
            <w:left w:val="none" w:sz="0" w:space="0" w:color="auto"/>
            <w:bottom w:val="none" w:sz="0" w:space="0" w:color="auto"/>
            <w:right w:val="none" w:sz="0" w:space="0" w:color="auto"/>
          </w:divBdr>
        </w:div>
      </w:divsChild>
    </w:div>
    <w:div w:id="1072700510">
      <w:bodyDiv w:val="1"/>
      <w:marLeft w:val="0"/>
      <w:marRight w:val="0"/>
      <w:marTop w:val="0"/>
      <w:marBottom w:val="0"/>
      <w:divBdr>
        <w:top w:val="none" w:sz="0" w:space="0" w:color="auto"/>
        <w:left w:val="none" w:sz="0" w:space="0" w:color="auto"/>
        <w:bottom w:val="none" w:sz="0" w:space="0" w:color="auto"/>
        <w:right w:val="none" w:sz="0" w:space="0" w:color="auto"/>
      </w:divBdr>
      <w:divsChild>
        <w:div w:id="577440423">
          <w:marLeft w:val="547"/>
          <w:marRight w:val="0"/>
          <w:marTop w:val="154"/>
          <w:marBottom w:val="0"/>
          <w:divBdr>
            <w:top w:val="none" w:sz="0" w:space="0" w:color="auto"/>
            <w:left w:val="none" w:sz="0" w:space="0" w:color="auto"/>
            <w:bottom w:val="none" w:sz="0" w:space="0" w:color="auto"/>
            <w:right w:val="none" w:sz="0" w:space="0" w:color="auto"/>
          </w:divBdr>
        </w:div>
        <w:div w:id="564993261">
          <w:marLeft w:val="547"/>
          <w:marRight w:val="0"/>
          <w:marTop w:val="154"/>
          <w:marBottom w:val="0"/>
          <w:divBdr>
            <w:top w:val="none" w:sz="0" w:space="0" w:color="auto"/>
            <w:left w:val="none" w:sz="0" w:space="0" w:color="auto"/>
            <w:bottom w:val="none" w:sz="0" w:space="0" w:color="auto"/>
            <w:right w:val="none" w:sz="0" w:space="0" w:color="auto"/>
          </w:divBdr>
        </w:div>
      </w:divsChild>
    </w:div>
    <w:div w:id="128457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policy/policy-highlights/economic-governance_en" TargetMode="External"/><Relationship Id="rId2" Type="http://schemas.openxmlformats.org/officeDocument/2006/relationships/hyperlink" Target="https://ec.europa.eu/neighbourhood-enlargement/policy/policy-highlights/economic-governance_en" TargetMode="External"/><Relationship Id="rId1" Type="http://schemas.openxmlformats.org/officeDocument/2006/relationships/hyperlink" Target="https://ec.europa.eu/commission/presscorner/detail/en/qanda_20_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51FE8-4E8C-4DC6-A8D2-DF52A43A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Ekonomska fakulteta, Univerza Ljubljana</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Mojmir Mrak</dc:creator>
  <cp:keywords/>
  <dc:description/>
  <cp:lastModifiedBy>Mojmir Mrak</cp:lastModifiedBy>
  <cp:revision>12</cp:revision>
  <cp:lastPrinted>2021-06-29T04:40:00Z</cp:lastPrinted>
  <dcterms:created xsi:type="dcterms:W3CDTF">2021-07-10T09:33:00Z</dcterms:created>
  <dcterms:modified xsi:type="dcterms:W3CDTF">2021-07-10T10:02:00Z</dcterms:modified>
</cp:coreProperties>
</file>